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400" w:lineRule="exact"/>
        <w:jc w:val="left"/>
        <w:rPr>
          <w:rFonts w:ascii="方正小标宋简体" w:eastAsia="方正小标宋简体"/>
          <w:b/>
          <w:sz w:val="44"/>
          <w:szCs w:val="44"/>
        </w:rPr>
      </w:pPr>
    </w:p>
    <w:tbl>
      <w:tblPr>
        <w:tblStyle w:val="4"/>
        <w:tblW w:w="12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2268"/>
        <w:gridCol w:w="4019"/>
        <w:gridCol w:w="1934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作者姓名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论文名称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理论征文入围情况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年会征文入围情况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韩骐隆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天津市武清区文化馆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公共文化服务社会化背景下，文化馆的“危”与“机”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一等（保留）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张莉宁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天津市宁河区文化馆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文化馆对优秀传统文化和地方资源的保护与传承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李莹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天津市群众艺术馆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为繁荣群众文艺创作探索可持续发展之路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王淮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天津市河西区文化馆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浅谈应该让“西岸文化”成为文化创意创新的载体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王霞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天津市东丽区文化馆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让少儿美术活动更加本真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一等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曹鋆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天津市河东区文化馆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浅谈应通过专题文艺演出大力弘扬社会主义核心价值观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甄业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陕西省艺术馆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文化馆效能评价体系建设的创新之路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一等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童圆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深圳市文化馆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文化馆机构的国际经验与启示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一等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吴胜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四川省达州市文化馆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现代服务理念下的文化馆建设路径考量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杨健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天津市北辰区文化馆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街头艺术为公共文化服务注入了新的内容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翁芳芳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天津市西青区文化馆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营养文化志愿服务的“根”与“茎”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周连杰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营口市公共文化服务中心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浅谈市级文化馆开展 培训与辅导工作的创新路径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钟丽珠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大邑县文化馆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乡村振兴背景下基层群众文化服务与 村社区治理互动初探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三等（取消）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周笑梅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上海市长宁传统文化文化中心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现代都市社区开展传统文化传播的探索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二等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张洁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厦门市海沧区文化馆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完善基层文化中心建设，满足人民美好生活需要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翁芳芳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天津市西青区文化馆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提升群众文化书画队伍水平的探索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凌琳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海沧区文化馆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你快乐，所以我快乐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</w:t>
            </w:r>
            <w:r>
              <w:rPr>
                <w:rFonts w:hint="eastAsia" w:asciiTheme="minorEastAsia" w:hAnsiTheme="minorEastAsia"/>
                <w:b/>
                <w:color w:val="000000"/>
                <w:sz w:val="20"/>
                <w:szCs w:val="20"/>
              </w:rPr>
              <w:t>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鞠长虹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东港市文化馆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文化馆开展群众文化活动的经验与做法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董明辉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辽宁省东港市文化馆</w:t>
            </w:r>
          </w:p>
        </w:tc>
        <w:tc>
          <w:tcPr>
            <w:tcW w:w="40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文化馆的社会职能与时代使命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优秀（保留）</w:t>
            </w:r>
          </w:p>
        </w:tc>
        <w:tc>
          <w:tcPr>
            <w:tcW w:w="19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sz w:val="20"/>
                <w:szCs w:val="20"/>
              </w:rPr>
              <w:t>优秀（取消）</w:t>
            </w:r>
          </w:p>
        </w:tc>
      </w:tr>
    </w:tbl>
    <w:p>
      <w:pPr>
        <w:spacing w:line="400" w:lineRule="exact"/>
        <w:rPr>
          <w:rFonts w:asciiTheme="minorEastAsia" w:hAnsiTheme="minorEastAsia"/>
          <w:b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7"/>
    <w:rsid w:val="000A52D7"/>
    <w:rsid w:val="00117D7D"/>
    <w:rsid w:val="0019411B"/>
    <w:rsid w:val="0035247C"/>
    <w:rsid w:val="004F72FD"/>
    <w:rsid w:val="00836120"/>
    <w:rsid w:val="00A56E36"/>
    <w:rsid w:val="00BD593F"/>
    <w:rsid w:val="00C7744C"/>
    <w:rsid w:val="00E30CCE"/>
    <w:rsid w:val="00EA107A"/>
    <w:rsid w:val="00F000BB"/>
    <w:rsid w:val="00F90B92"/>
    <w:rsid w:val="7D01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C092E1-3857-4695-AF2A-3B1EF7FA51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199</Words>
  <Characters>1136</Characters>
  <Lines>9</Lines>
  <Paragraphs>2</Paragraphs>
  <TotalTime>8</TotalTime>
  <ScaleCrop>false</ScaleCrop>
  <LinksUpToDate>false</LinksUpToDate>
  <CharactersWithSpaces>1333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2019-08-23T09:01:00Z</dcterms:created>
  <dc:creator>段少卿</dc:creator>
  <cp:lastModifiedBy>game</cp:lastModifiedBy>
  <dcterms:modified xsi:type="dcterms:W3CDTF">2019-09-03T02:27:54Z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