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E1" w:rsidRDefault="00DC1AE1" w:rsidP="00DC1AE1">
      <w:pPr>
        <w:rPr>
          <w:rFonts w:hint="eastAsia"/>
        </w:rPr>
      </w:pPr>
      <w:bookmarkStart w:id="0" w:name="_Toc181585852"/>
      <w:r w:rsidRPr="00DC1AE1">
        <w:rPr>
          <w:rFonts w:hint="eastAsia"/>
        </w:rPr>
        <w:t>附</w:t>
      </w:r>
      <w:r w:rsidRPr="00DC1AE1">
        <w:rPr>
          <w:rFonts w:hint="eastAsia"/>
        </w:rPr>
        <w:t>  </w:t>
      </w:r>
      <w:r w:rsidRPr="00DC1AE1">
        <w:rPr>
          <w:rFonts w:hint="eastAsia"/>
        </w:rPr>
        <w:t>件</w:t>
      </w:r>
      <w:bookmarkEnd w:id="0"/>
      <w:r>
        <w:rPr>
          <w:rFonts w:hint="eastAsia"/>
        </w:rPr>
        <w:t xml:space="preserve"> </w:t>
      </w:r>
    </w:p>
    <w:p w:rsidR="00DC1AE1" w:rsidRDefault="00DC1AE1" w:rsidP="00DC1AE1">
      <w:pPr>
        <w:rPr>
          <w:rFonts w:hint="eastAsia"/>
        </w:rPr>
      </w:pPr>
      <w:r w:rsidRPr="00DC1AE1">
        <w:rPr>
          <w:rFonts w:hint="eastAsia"/>
        </w:rPr>
        <w:t>文化馆建设用地指标条文说明</w:t>
      </w:r>
    </w:p>
    <w:p w:rsidR="00DC1AE1" w:rsidRPr="00DC1AE1" w:rsidRDefault="00DC1AE1" w:rsidP="00DC1AE1"/>
    <w:p w:rsidR="00DC1AE1" w:rsidRPr="00DC1AE1" w:rsidRDefault="00DC1AE1" w:rsidP="00DC1AE1">
      <w:bookmarkStart w:id="1" w:name="_Toc180832442"/>
      <w:r w:rsidRPr="00DC1AE1">
        <w:rPr>
          <w:rFonts w:hint="eastAsia"/>
          <w:b/>
          <w:bCs/>
        </w:rPr>
        <w:t>目</w:t>
      </w:r>
      <w:r w:rsidRPr="00DC1AE1">
        <w:rPr>
          <w:rFonts w:hint="eastAsia"/>
          <w:b/>
          <w:bCs/>
        </w:rPr>
        <w:t>    </w:t>
      </w:r>
      <w:r w:rsidRPr="00DC1AE1">
        <w:rPr>
          <w:rFonts w:hint="eastAsia"/>
          <w:b/>
          <w:bCs/>
        </w:rPr>
        <w:t>录</w:t>
      </w:r>
      <w:bookmarkEnd w:id="1"/>
    </w:p>
    <w:p w:rsidR="00DC1AE1" w:rsidRPr="00DC1AE1" w:rsidRDefault="00DC1AE1" w:rsidP="00DC1AE1">
      <w:hyperlink r:id="rId4" w:anchor="_Toc181585854" w:history="1">
        <w:r w:rsidRPr="00DC1AE1">
          <w:rPr>
            <w:rStyle w:val="a3"/>
            <w:rFonts w:hint="eastAsia"/>
          </w:rPr>
          <w:t>第一章</w:t>
        </w:r>
        <w:r w:rsidRPr="00DC1AE1">
          <w:rPr>
            <w:rStyle w:val="a3"/>
          </w:rPr>
          <w:t>  </w:t>
        </w:r>
        <w:r w:rsidRPr="00DC1AE1">
          <w:rPr>
            <w:rStyle w:val="a3"/>
            <w:rFonts w:hint="eastAsia"/>
          </w:rPr>
          <w:t>总</w:t>
        </w:r>
        <w:r w:rsidRPr="00DC1AE1">
          <w:rPr>
            <w:rStyle w:val="a3"/>
          </w:rPr>
          <w:t>    </w:t>
        </w:r>
        <w:r w:rsidRPr="00DC1AE1">
          <w:rPr>
            <w:rStyle w:val="a3"/>
            <w:rFonts w:hint="eastAsia"/>
          </w:rPr>
          <w:t>则</w:t>
        </w:r>
      </w:hyperlink>
      <w:r w:rsidRPr="00DC1AE1">
        <w:t>3</w:t>
      </w:r>
      <w:r w:rsidRPr="00DC1AE1">
        <w:rPr>
          <w:rFonts w:hint="eastAsia"/>
        </w:rPr>
        <w:t>）</w:t>
      </w:r>
    </w:p>
    <w:p w:rsidR="00DC1AE1" w:rsidRPr="00DC1AE1" w:rsidRDefault="00DC1AE1" w:rsidP="00DC1AE1">
      <w:hyperlink r:id="rId5" w:anchor="_Toc181585855" w:history="1">
        <w:r w:rsidRPr="00DC1AE1">
          <w:rPr>
            <w:rStyle w:val="a3"/>
            <w:rFonts w:hint="eastAsia"/>
          </w:rPr>
          <w:t>第二章</w:t>
        </w:r>
        <w:r w:rsidRPr="00DC1AE1">
          <w:rPr>
            <w:rStyle w:val="a3"/>
          </w:rPr>
          <w:t>  </w:t>
        </w:r>
        <w:r w:rsidRPr="00DC1AE1">
          <w:rPr>
            <w:rStyle w:val="a3"/>
            <w:rFonts w:hint="eastAsia"/>
          </w:rPr>
          <w:t>节约和合理用地的基本规定</w:t>
        </w:r>
      </w:hyperlink>
      <w:r w:rsidRPr="00DC1AE1">
        <w:rPr>
          <w:rFonts w:hint="eastAsia"/>
        </w:rPr>
        <w:t>）</w:t>
      </w:r>
    </w:p>
    <w:p w:rsidR="00DC1AE1" w:rsidRPr="00DC1AE1" w:rsidRDefault="00DC1AE1" w:rsidP="00DC1AE1">
      <w:hyperlink r:id="rId6" w:anchor="_Toc181585857" w:history="1">
        <w:r w:rsidRPr="00DC1AE1">
          <w:rPr>
            <w:rStyle w:val="a3"/>
            <w:rFonts w:hint="eastAsia"/>
          </w:rPr>
          <w:t>第三章</w:t>
        </w:r>
        <w:r w:rsidRPr="00DC1AE1">
          <w:rPr>
            <w:rStyle w:val="a3"/>
          </w:rPr>
          <w:t>  </w:t>
        </w:r>
        <w:r w:rsidRPr="00DC1AE1">
          <w:rPr>
            <w:rStyle w:val="a3"/>
            <w:rFonts w:hint="eastAsia"/>
          </w:rPr>
          <w:t>建设用地指标</w:t>
        </w:r>
      </w:hyperlink>
      <w:r w:rsidRPr="00DC1AE1">
        <w:rPr>
          <w:rFonts w:hint="eastAsia"/>
        </w:rPr>
        <w:t>（</w:t>
      </w:r>
      <w:r w:rsidRPr="00DC1AE1">
        <w:t>18</w:t>
      </w:r>
      <w:r w:rsidRPr="00DC1AE1">
        <w:rPr>
          <w:rFonts w:hint="eastAsia"/>
        </w:rPr>
        <w:t>）</w:t>
      </w:r>
    </w:p>
    <w:p w:rsidR="00DC1AE1" w:rsidRPr="00DC1AE1" w:rsidRDefault="00DC1AE1" w:rsidP="00DC1AE1">
      <w:hyperlink r:id="rId7" w:anchor="_Toc181585858" w:history="1">
        <w:r w:rsidRPr="00DC1AE1">
          <w:rPr>
            <w:rStyle w:val="a3"/>
            <w:rFonts w:hint="eastAsia"/>
          </w:rPr>
          <w:t>第一节</w:t>
        </w:r>
        <w:r w:rsidRPr="00DC1AE1">
          <w:rPr>
            <w:rStyle w:val="a3"/>
          </w:rPr>
          <w:t>  </w:t>
        </w:r>
        <w:r w:rsidRPr="00DC1AE1">
          <w:rPr>
            <w:rStyle w:val="a3"/>
            <w:rFonts w:hint="eastAsia"/>
          </w:rPr>
          <w:t>分级分类与设置原则</w:t>
        </w:r>
      </w:hyperlink>
      <w:r w:rsidRPr="00DC1AE1">
        <w:t>18</w:t>
      </w:r>
      <w:r w:rsidRPr="00DC1AE1">
        <w:rPr>
          <w:rFonts w:hint="eastAsia"/>
        </w:rPr>
        <w:t>）</w:t>
      </w:r>
    </w:p>
    <w:p w:rsidR="00DC1AE1" w:rsidRPr="00DC1AE1" w:rsidRDefault="00DC1AE1" w:rsidP="00DC1AE1">
      <w:hyperlink r:id="rId8" w:anchor="_Toc181585860" w:history="1">
        <w:r w:rsidRPr="00DC1AE1">
          <w:rPr>
            <w:rStyle w:val="a3"/>
            <w:rFonts w:hint="eastAsia"/>
          </w:rPr>
          <w:t>第二节</w:t>
        </w:r>
        <w:r w:rsidRPr="00DC1AE1">
          <w:rPr>
            <w:rStyle w:val="a3"/>
          </w:rPr>
          <w:t>  </w:t>
        </w:r>
        <w:r w:rsidRPr="00DC1AE1">
          <w:rPr>
            <w:rStyle w:val="a3"/>
            <w:rFonts w:hint="eastAsia"/>
          </w:rPr>
          <w:t>建设用地控制指标</w:t>
        </w:r>
      </w:hyperlink>
    </w:p>
    <w:p w:rsidR="00DC1AE1" w:rsidRPr="00DC1AE1" w:rsidRDefault="00DC1AE1" w:rsidP="00DC1AE1">
      <w:r w:rsidRPr="00DC1AE1">
        <w:t> </w:t>
      </w:r>
    </w:p>
    <w:p w:rsidR="00DC1AE1" w:rsidRPr="00DC1AE1" w:rsidRDefault="00DC1AE1" w:rsidP="00DC1AE1">
      <w:bookmarkStart w:id="2" w:name="_Toc134936235"/>
      <w:r w:rsidRPr="00DC1AE1">
        <w:rPr>
          <w:rFonts w:hint="eastAsia"/>
          <w:b/>
          <w:bCs/>
        </w:rPr>
        <w:t>第一章</w:t>
      </w:r>
      <w:r w:rsidRPr="00DC1AE1">
        <w:rPr>
          <w:rFonts w:hint="eastAsia"/>
          <w:b/>
          <w:bCs/>
        </w:rPr>
        <w:t>  </w:t>
      </w:r>
      <w:r w:rsidRPr="00DC1AE1">
        <w:rPr>
          <w:rFonts w:hint="eastAsia"/>
          <w:b/>
          <w:bCs/>
        </w:rPr>
        <w:t>总</w:t>
      </w:r>
      <w:r w:rsidRPr="00DC1AE1">
        <w:rPr>
          <w:rFonts w:hint="eastAsia"/>
          <w:b/>
          <w:bCs/>
        </w:rPr>
        <w:t>    </w:t>
      </w:r>
      <w:r w:rsidRPr="00DC1AE1">
        <w:rPr>
          <w:rFonts w:hint="eastAsia"/>
          <w:b/>
          <w:bCs/>
        </w:rPr>
        <w:t>则</w:t>
      </w:r>
      <w:bookmarkEnd w:id="2"/>
    </w:p>
    <w:p w:rsidR="00DC1AE1" w:rsidRPr="00DC1AE1" w:rsidRDefault="00DC1AE1" w:rsidP="00DC1AE1">
      <w:r w:rsidRPr="00DC1AE1">
        <w:t> </w:t>
      </w:r>
    </w:p>
    <w:p w:rsidR="00DC1AE1" w:rsidRPr="00DC1AE1" w:rsidRDefault="00DC1AE1" w:rsidP="00DC1AE1">
      <w:r w:rsidRPr="00DC1AE1">
        <w:rPr>
          <w:rFonts w:hint="eastAsia"/>
        </w:rPr>
        <w:t>第一条</w:t>
      </w:r>
      <w:r w:rsidRPr="00DC1AE1">
        <w:t>      </w:t>
      </w:r>
      <w:r w:rsidRPr="00DC1AE1">
        <w:rPr>
          <w:rFonts w:hint="eastAsia"/>
        </w:rPr>
        <w:t>本条阐明了文化馆建设用地指标编制的目的。</w:t>
      </w:r>
    </w:p>
    <w:p w:rsidR="00DC1AE1" w:rsidRPr="00DC1AE1" w:rsidRDefault="00DC1AE1" w:rsidP="00DC1AE1">
      <w:r w:rsidRPr="00DC1AE1">
        <w:rPr>
          <w:rFonts w:hint="eastAsia"/>
        </w:rPr>
        <w:t>一、文化馆是我国特有的群众文化事业机构，建国几十年来已逐步建立起完善的组织和管理体系，在我国人民群众文化艺术生活中占有重要地位。</w:t>
      </w:r>
    </w:p>
    <w:p w:rsidR="00DC1AE1" w:rsidRPr="00DC1AE1" w:rsidRDefault="00DC1AE1" w:rsidP="00DC1AE1">
      <w:r w:rsidRPr="00DC1AE1">
        <w:rPr>
          <w:rFonts w:hint="eastAsia"/>
        </w:rPr>
        <w:t>二、为了贯彻落实国务院《公共文化体育设施条例》、适应我国文化事业发展及构建社会主义和谐社会的需要，为了满足人民群众文化生活水平日益提高的合理需求、保障文化馆建设能够合理规范地利用土地，制定本指标。</w:t>
      </w:r>
    </w:p>
    <w:p w:rsidR="00DC1AE1" w:rsidRPr="00DC1AE1" w:rsidRDefault="00DC1AE1" w:rsidP="00DC1AE1">
      <w:r w:rsidRPr="00DC1AE1">
        <w:rPr>
          <w:rFonts w:hint="eastAsia"/>
        </w:rPr>
        <w:t>三、我国土地资源十分有限，建设文化馆必须贯彻执行“十分珍惜、合理利用土地和切实保护耕地”的基本国策，科学有效、节约集约地利用土地。</w:t>
      </w:r>
    </w:p>
    <w:p w:rsidR="00DC1AE1" w:rsidRPr="00DC1AE1" w:rsidRDefault="00DC1AE1" w:rsidP="00DC1AE1">
      <w:r w:rsidRPr="00DC1AE1">
        <w:rPr>
          <w:rFonts w:hint="eastAsia"/>
        </w:rPr>
        <w:t>第二条</w:t>
      </w:r>
      <w:r w:rsidRPr="00DC1AE1">
        <w:t>      </w:t>
      </w:r>
      <w:r w:rsidRPr="00DC1AE1">
        <w:rPr>
          <w:rFonts w:hint="eastAsia"/>
        </w:rPr>
        <w:t>本条明确了文化馆建设用地指标的作用。</w:t>
      </w:r>
    </w:p>
    <w:p w:rsidR="00DC1AE1" w:rsidRPr="00DC1AE1" w:rsidRDefault="00DC1AE1" w:rsidP="00DC1AE1">
      <w:r w:rsidRPr="00DC1AE1">
        <w:rPr>
          <w:rFonts w:hint="eastAsia"/>
        </w:rPr>
        <w:t>《关于印发</w:t>
      </w:r>
      <w:r w:rsidRPr="00DC1AE1">
        <w:rPr>
          <w:rFonts w:hint="eastAsia"/>
        </w:rPr>
        <w:t>&lt;</w:t>
      </w:r>
      <w:r w:rsidRPr="00DC1AE1">
        <w:rPr>
          <w:rFonts w:hint="eastAsia"/>
        </w:rPr>
        <w:t>工程项目建设用地指标编制工作暂行办法</w:t>
      </w:r>
      <w:r w:rsidRPr="00DC1AE1">
        <w:rPr>
          <w:rFonts w:hint="eastAsia"/>
        </w:rPr>
        <w:t>&gt;</w:t>
      </w:r>
      <w:r w:rsidRPr="00DC1AE1">
        <w:rPr>
          <w:rFonts w:hint="eastAsia"/>
        </w:rPr>
        <w:t>的通知》（﹝</w:t>
      </w:r>
      <w:r w:rsidRPr="00DC1AE1">
        <w:rPr>
          <w:rFonts w:hint="eastAsia"/>
        </w:rPr>
        <w:t>1989</w:t>
      </w:r>
      <w:r w:rsidRPr="00DC1AE1">
        <w:rPr>
          <w:rFonts w:hint="eastAsia"/>
        </w:rPr>
        <w:t>国土﹝建﹞字第</w:t>
      </w:r>
      <w:r w:rsidRPr="00DC1AE1">
        <w:rPr>
          <w:rFonts w:hint="eastAsia"/>
        </w:rPr>
        <w:t>169</w:t>
      </w:r>
      <w:r w:rsidRPr="00DC1AE1">
        <w:rPr>
          <w:rFonts w:hint="eastAsia"/>
        </w:rPr>
        <w:t>号）第四条和第五条规定：“建设用地指标是指在平均先进的生产工艺、规划设计、技术经济水平和通常的场地条件下，一个建设项目（或单项工程）的主体工程和配套工程所需占用的额定土地面积”、“建设用地指标是编制和审批设计任务书（或可行性研究报告），确定项目建设用地规模的依据；是编制初步设计文件，核定和审批建设项目用地面积的尺度”，同时，《公共文化体育设施条例》第十四条规定：“公共文化体育设施的建设预留地，由县级以上地方人民政府土地行政主管部门、城乡规划行政主管部门按照国家有关用地定额指标，纳入土地利用总体规划和城乡规划，并依照法定程序审批”，因此，本指标既要考虑文化馆确定单项设施建设用地规模的需要，同时也要考虑城市规划落实其建设用地的需要。</w:t>
      </w:r>
    </w:p>
    <w:p w:rsidR="00DC1AE1" w:rsidRPr="00DC1AE1" w:rsidRDefault="00DC1AE1" w:rsidP="00DC1AE1">
      <w:r w:rsidRPr="00DC1AE1">
        <w:rPr>
          <w:rFonts w:hint="eastAsia"/>
        </w:rPr>
        <w:t>文化馆是直接为人民群众提供文化服务的场所，根据国家构建公共文化服务体系，维护广大人民群众基本文化权益的精神，本指标考虑了我国文化馆建设的现状基础和未来发展需求与趋势，综合了服务人口、服务半径等因素的影响，以满足文化行政主管部门编制初步设计文件、土地行政主管部门核定和审批建设项目用地面积以及城乡规划行政主管部门组织编制城市规划落实文化馆建设用地的需要，促使文化馆的规划、建设达到节约土地、合理布局、提高服务水平的目的。</w:t>
      </w:r>
    </w:p>
    <w:p w:rsidR="00DC1AE1" w:rsidRPr="00DC1AE1" w:rsidRDefault="00DC1AE1" w:rsidP="00DC1AE1">
      <w:r w:rsidRPr="00DC1AE1">
        <w:rPr>
          <w:rFonts w:hint="eastAsia"/>
        </w:rPr>
        <w:t>第三条</w:t>
      </w:r>
      <w:r w:rsidRPr="00DC1AE1">
        <w:t>      </w:t>
      </w:r>
      <w:r w:rsidRPr="00DC1AE1">
        <w:rPr>
          <w:rFonts w:hint="eastAsia"/>
        </w:rPr>
        <w:t>本条说明了文化馆建设用地指标的适用范围。</w:t>
      </w:r>
    </w:p>
    <w:p w:rsidR="00DC1AE1" w:rsidRPr="00DC1AE1" w:rsidRDefault="00DC1AE1" w:rsidP="00DC1AE1">
      <w:r w:rsidRPr="00DC1AE1">
        <w:rPr>
          <w:rFonts w:hint="eastAsia"/>
        </w:rPr>
        <w:t>本指标适用于县级以上人民政府设立的文化馆的规划和建设。根据《中华人民共和国宪法》和国务院《公共文化体育设施条例》，本指标所指的文化馆包括群众艺术馆和文化馆。</w:t>
      </w:r>
    </w:p>
    <w:p w:rsidR="00DC1AE1" w:rsidRPr="00DC1AE1" w:rsidRDefault="00DC1AE1" w:rsidP="00DC1AE1">
      <w:r w:rsidRPr="00DC1AE1">
        <w:rPr>
          <w:rFonts w:hint="eastAsia"/>
        </w:rPr>
        <w:t>本指标不涉及服务人口</w:t>
      </w:r>
      <w:proofErr w:type="gramStart"/>
      <w:r w:rsidRPr="00DC1AE1">
        <w:rPr>
          <w:rFonts w:hint="eastAsia"/>
        </w:rPr>
        <w:t>不足</w:t>
      </w:r>
      <w:r w:rsidRPr="00DC1AE1">
        <w:rPr>
          <w:rFonts w:hint="eastAsia"/>
        </w:rPr>
        <w:t>5</w:t>
      </w:r>
      <w:r w:rsidRPr="00DC1AE1">
        <w:rPr>
          <w:rFonts w:hint="eastAsia"/>
        </w:rPr>
        <w:t>万</w:t>
      </w:r>
      <w:proofErr w:type="gramEnd"/>
      <w:r w:rsidRPr="00DC1AE1">
        <w:rPr>
          <w:rFonts w:hint="eastAsia"/>
        </w:rPr>
        <w:t>的文化馆，不涉及社会力量兴办的文化馆，不涉及街道综合文化站及乡镇文化站，这些文化馆的规划和建设可参照本指标执行，也可以与其他文化建筑联合建设。</w:t>
      </w:r>
    </w:p>
    <w:p w:rsidR="00DC1AE1" w:rsidRPr="00DC1AE1" w:rsidRDefault="00DC1AE1" w:rsidP="00DC1AE1">
      <w:r w:rsidRPr="00DC1AE1">
        <w:rPr>
          <w:rFonts w:hint="eastAsia"/>
        </w:rPr>
        <w:t>第四～五条</w:t>
      </w:r>
      <w:r w:rsidRPr="00DC1AE1">
        <w:rPr>
          <w:rFonts w:hint="eastAsia"/>
        </w:rPr>
        <w:t>   </w:t>
      </w:r>
      <w:r w:rsidRPr="00DC1AE1">
        <w:rPr>
          <w:rFonts w:hint="eastAsia"/>
        </w:rPr>
        <w:t>这两条阐明了本指标与国家现行法律、法规以及标准、规范的关系。</w:t>
      </w:r>
    </w:p>
    <w:p w:rsidR="00DC1AE1" w:rsidRPr="00DC1AE1" w:rsidRDefault="00DC1AE1" w:rsidP="00DC1AE1">
      <w:r w:rsidRPr="00DC1AE1">
        <w:rPr>
          <w:rFonts w:hint="eastAsia"/>
        </w:rPr>
        <w:t>本指标在编制过程中充分考虑到符合国家现行《公共文化体育设施条例》、《城市用地分类与</w:t>
      </w:r>
      <w:r w:rsidRPr="00DC1AE1">
        <w:rPr>
          <w:rFonts w:hint="eastAsia"/>
        </w:rPr>
        <w:lastRenderedPageBreak/>
        <w:t>规划建设用地标准》</w:t>
      </w:r>
      <w:r w:rsidRPr="00DC1AE1">
        <w:rPr>
          <w:rFonts w:hint="eastAsia"/>
        </w:rPr>
        <w:t>GBJ 137</w:t>
      </w:r>
      <w:r w:rsidRPr="00DC1AE1">
        <w:rPr>
          <w:rFonts w:hint="eastAsia"/>
        </w:rPr>
        <w:t>、《文化馆建筑设计规范》</w:t>
      </w:r>
      <w:r w:rsidRPr="00DC1AE1">
        <w:rPr>
          <w:rFonts w:hint="eastAsia"/>
        </w:rPr>
        <w:t>JGJ 41</w:t>
      </w:r>
      <w:r w:rsidRPr="00DC1AE1">
        <w:rPr>
          <w:rFonts w:hint="eastAsia"/>
        </w:rPr>
        <w:t>等相关法律法规、标准规范的规定和要求。</w:t>
      </w:r>
    </w:p>
    <w:p w:rsidR="00DC1AE1" w:rsidRPr="00DC1AE1" w:rsidRDefault="00DC1AE1" w:rsidP="00DC1AE1">
      <w:r w:rsidRPr="00DC1AE1">
        <w:rPr>
          <w:rFonts w:hint="eastAsia"/>
        </w:rPr>
        <w:t>在本指标的执行过程中应同时注意遵守国家现行的及新修订的其他标准、规范的相关规定和要求。</w:t>
      </w:r>
    </w:p>
    <w:p w:rsidR="00DC1AE1" w:rsidRPr="00DC1AE1" w:rsidRDefault="00DC1AE1" w:rsidP="00DC1AE1">
      <w:r w:rsidRPr="00DC1AE1">
        <w:rPr>
          <w:rFonts w:hint="eastAsia"/>
        </w:rPr>
        <w:t> </w:t>
      </w:r>
    </w:p>
    <w:p w:rsidR="00DC1AE1" w:rsidRPr="00DC1AE1" w:rsidRDefault="00DC1AE1" w:rsidP="00DC1AE1">
      <w:r w:rsidRPr="00DC1AE1">
        <w:rPr>
          <w:rFonts w:hint="eastAsia"/>
        </w:rPr>
        <w:t>第四条</w:t>
      </w:r>
      <w:r w:rsidRPr="00DC1AE1">
        <w:t>       </w:t>
      </w:r>
    </w:p>
    <w:p w:rsidR="00DC1AE1" w:rsidRPr="00DC1AE1" w:rsidRDefault="00DC1AE1" w:rsidP="00DC1AE1">
      <w:r w:rsidRPr="00DC1AE1">
        <w:rPr>
          <w:rFonts w:hint="eastAsia"/>
        </w:rPr>
        <w:t>第五条</w:t>
      </w:r>
      <w:r w:rsidRPr="00DC1AE1">
        <w:t>       </w:t>
      </w:r>
    </w:p>
    <w:p w:rsidR="00DC1AE1" w:rsidRPr="00DC1AE1" w:rsidRDefault="00DC1AE1" w:rsidP="00DC1AE1">
      <w:bookmarkStart w:id="3" w:name="_Toc148547077"/>
      <w:r w:rsidRPr="00DC1AE1">
        <w:rPr>
          <w:rFonts w:hint="eastAsia"/>
          <w:b/>
          <w:bCs/>
        </w:rPr>
        <w:t>第二章</w:t>
      </w:r>
      <w:r w:rsidRPr="00DC1AE1">
        <w:rPr>
          <w:rFonts w:hint="eastAsia"/>
          <w:b/>
          <w:bCs/>
        </w:rPr>
        <w:t>  </w:t>
      </w:r>
      <w:r w:rsidRPr="00DC1AE1">
        <w:rPr>
          <w:rFonts w:hint="eastAsia"/>
          <w:b/>
          <w:bCs/>
        </w:rPr>
        <w:t>节约和合理用地的基本规定</w:t>
      </w:r>
      <w:bookmarkEnd w:id="3"/>
    </w:p>
    <w:p w:rsidR="00DC1AE1" w:rsidRPr="00DC1AE1" w:rsidRDefault="00DC1AE1" w:rsidP="00DC1AE1">
      <w:r w:rsidRPr="00DC1AE1">
        <w:t> </w:t>
      </w:r>
    </w:p>
    <w:p w:rsidR="00DC1AE1" w:rsidRPr="00DC1AE1" w:rsidRDefault="00DC1AE1" w:rsidP="00DC1AE1">
      <w:r w:rsidRPr="00DC1AE1">
        <w:rPr>
          <w:rFonts w:hint="eastAsia"/>
        </w:rPr>
        <w:t>第六条</w:t>
      </w:r>
      <w:r w:rsidRPr="00DC1AE1">
        <w:t>      </w:t>
      </w:r>
      <w:r w:rsidRPr="00DC1AE1">
        <w:rPr>
          <w:rFonts w:hint="eastAsia"/>
        </w:rPr>
        <w:t>本条为节约和合理用地的基本原则。</w:t>
      </w:r>
    </w:p>
    <w:p w:rsidR="00DC1AE1" w:rsidRPr="00DC1AE1" w:rsidRDefault="00DC1AE1" w:rsidP="00DC1AE1">
      <w:r w:rsidRPr="00DC1AE1">
        <w:rPr>
          <w:rFonts w:hint="eastAsia"/>
        </w:rPr>
        <w:t>国务院《公共文化体育设施条例》第十条指出：“公共文化体育设施的数量、种类、规模以及布局，应当根据国民经济和社会发展水平、人口结构、环境条件以及文化体育事业发展的需要，统筹兼顾，优化配置，并符合国家关于城乡公共文化体育设施用地定额指标的规定。”</w:t>
      </w:r>
    </w:p>
    <w:p w:rsidR="00DC1AE1" w:rsidRPr="00DC1AE1" w:rsidRDefault="00DC1AE1" w:rsidP="00DC1AE1">
      <w:r w:rsidRPr="00DC1AE1">
        <w:rPr>
          <w:rFonts w:hint="eastAsia"/>
        </w:rPr>
        <w:t>我国现行的文化馆设置与管理是与所在城市或区的行政管理级别相对应的。根据研究与分析，基于文化馆群众性文化设施的属性，其发展趋势将与群众文化活动更加密切，所以建设规模也应与服务人口相匹配。但人口的分布并不均匀，且通常使用者所能承受的出行距离和时间是有限的，因此，文化馆的设置及布局还应考虑合理的服务半径，以保证使用者在适宜的出行时间内可以到达。</w:t>
      </w:r>
    </w:p>
    <w:p w:rsidR="00DC1AE1" w:rsidRPr="00DC1AE1" w:rsidRDefault="00DC1AE1" w:rsidP="00DC1AE1">
      <w:r w:rsidRPr="00DC1AE1">
        <w:rPr>
          <w:rFonts w:hint="eastAsia"/>
        </w:rPr>
        <w:t>目前我国文化馆的建设与所在城市的社会经济发展水平、环境条件、民族及文化等特点有着密切的关系。不同地区的文化馆在功能设置、工作展开、管理方式、设施水平与建设规模等方面表现出明显的差异性，因此，本指标充分考虑多种差异的存在，提供一定的弹性空间。各地可根据自身的经济情况、用地条件、特别是人民生活的需要适当调节，但必须遵守节约和合理利用土地的基本原则。</w:t>
      </w:r>
    </w:p>
    <w:p w:rsidR="00DC1AE1" w:rsidRPr="00DC1AE1" w:rsidRDefault="00DC1AE1" w:rsidP="00DC1AE1">
      <w:r w:rsidRPr="00DC1AE1">
        <w:rPr>
          <w:rFonts w:hint="eastAsia"/>
        </w:rPr>
        <w:t>第七条</w:t>
      </w:r>
      <w:r w:rsidRPr="00DC1AE1">
        <w:t>      </w:t>
      </w:r>
      <w:r w:rsidRPr="00DC1AE1">
        <w:rPr>
          <w:rFonts w:hint="eastAsia"/>
        </w:rPr>
        <w:t>本条阐明文化馆应合理用地。</w:t>
      </w:r>
    </w:p>
    <w:p w:rsidR="00DC1AE1" w:rsidRPr="00DC1AE1" w:rsidRDefault="00DC1AE1" w:rsidP="00DC1AE1">
      <w:r w:rsidRPr="00DC1AE1">
        <w:rPr>
          <w:rFonts w:hint="eastAsia"/>
        </w:rPr>
        <w:t>国务院《公共文化体育设施条例》指出：“建设公共文化体育设施使用国有土地的，经依法批准可以以划拨方式取得。”“公共文化体育设施的建设预留地，由县级以上地方人民政府土地行政主管部门、城乡规划行政主管部门按照国家有关用地定额指标，纳入土地利用总体规划和城乡规划，并依照法定程序审批。任何单位或者个人不得侵占公共文化体育设施建设预留地或者改变其用途”。</w:t>
      </w:r>
    </w:p>
    <w:p w:rsidR="00DC1AE1" w:rsidRPr="00DC1AE1" w:rsidRDefault="00DC1AE1" w:rsidP="00DC1AE1">
      <w:r w:rsidRPr="00DC1AE1">
        <w:rPr>
          <w:rFonts w:hint="eastAsia"/>
        </w:rPr>
        <w:t>文化馆是公益性文化设施，是政府向社会提供的公共物品，它与人民群众特别是老人、儿童等弱势群体的文化生活息息相关，因此，其建设用地应纳入城市公共文化配套设施并通过城市规划加以落实。文化馆建设用地应满足群众文化生活的需求</w:t>
      </w:r>
      <w:r w:rsidRPr="00DC1AE1">
        <w:rPr>
          <w:rFonts w:hint="eastAsia"/>
        </w:rPr>
        <w:t>,</w:t>
      </w:r>
      <w:r w:rsidRPr="00DC1AE1">
        <w:rPr>
          <w:rFonts w:hint="eastAsia"/>
        </w:rPr>
        <w:t>同时也应避免盲目占地和重复建设。</w:t>
      </w:r>
    </w:p>
    <w:p w:rsidR="00DC1AE1" w:rsidRPr="00DC1AE1" w:rsidRDefault="00DC1AE1" w:rsidP="00DC1AE1">
      <w:r w:rsidRPr="00DC1AE1">
        <w:rPr>
          <w:rFonts w:hint="eastAsia"/>
        </w:rPr>
        <w:t>第八条</w:t>
      </w:r>
      <w:r w:rsidRPr="00DC1AE1">
        <w:t>      </w:t>
      </w:r>
      <w:r w:rsidRPr="00DC1AE1">
        <w:rPr>
          <w:rFonts w:hint="eastAsia"/>
        </w:rPr>
        <w:t>本条阐述文化馆的合理布局。</w:t>
      </w:r>
    </w:p>
    <w:p w:rsidR="00DC1AE1" w:rsidRPr="00DC1AE1" w:rsidRDefault="00DC1AE1" w:rsidP="00DC1AE1">
      <w:r w:rsidRPr="00DC1AE1">
        <w:rPr>
          <w:rFonts w:hint="eastAsia"/>
        </w:rPr>
        <w:t>文化馆的布局应充分考虑公益性公共文化设施服务的需求，城市中不同级别、不同类型的文化馆应形成有序的公共文化设施服务网络，方便使用并减少重复建设。</w:t>
      </w:r>
    </w:p>
    <w:p w:rsidR="00DC1AE1" w:rsidRPr="00DC1AE1" w:rsidRDefault="00DC1AE1" w:rsidP="00DC1AE1">
      <w:r w:rsidRPr="00DC1AE1">
        <w:rPr>
          <w:rFonts w:hint="eastAsia"/>
        </w:rPr>
        <w:t>第九条</w:t>
      </w:r>
      <w:r w:rsidRPr="00DC1AE1">
        <w:t>      </w:t>
      </w:r>
      <w:r w:rsidRPr="00DC1AE1">
        <w:rPr>
          <w:rFonts w:hint="eastAsia"/>
        </w:rPr>
        <w:t>本条阐明了文化馆的选址原则。</w:t>
      </w:r>
    </w:p>
    <w:p w:rsidR="00DC1AE1" w:rsidRPr="00DC1AE1" w:rsidRDefault="00DC1AE1" w:rsidP="00DC1AE1">
      <w:r w:rsidRPr="00DC1AE1">
        <w:rPr>
          <w:rFonts w:hint="eastAsia"/>
        </w:rPr>
        <w:t>针对文化馆服务对象的交通出行习惯和要求，特别是省、市上、县级文化馆既是辖区文化活动的组织中心，同时又是群众文化活动的场所，因此，应设置于城市中人口集中、交通便利的地区；考虑到大城市及特大城市的实际交通状况，本指标提出了文化馆应位于“公交便利”的地区。</w:t>
      </w:r>
    </w:p>
    <w:p w:rsidR="00DC1AE1" w:rsidRPr="00DC1AE1" w:rsidRDefault="00DC1AE1" w:rsidP="00DC1AE1">
      <w:r w:rsidRPr="00DC1AE1">
        <w:rPr>
          <w:rFonts w:hint="eastAsia"/>
        </w:rPr>
        <w:t>本着集约利用土地、充分利用城市公共资源的原则，结合我国文化馆建设多年的实践经验，文化馆的选址宜靠近城镇公园绿地和城镇广场，在基本功能不受影响的条件下与青少年宫、妇女儿童活动中心、老年活动中心、文化艺术中心等其它公益性文化设施联合建设。</w:t>
      </w:r>
    </w:p>
    <w:p w:rsidR="00DC1AE1" w:rsidRPr="00DC1AE1" w:rsidRDefault="00DC1AE1" w:rsidP="00DC1AE1">
      <w:r w:rsidRPr="00DC1AE1">
        <w:rPr>
          <w:rFonts w:hint="eastAsia"/>
        </w:rPr>
        <w:lastRenderedPageBreak/>
        <w:t>第十条</w:t>
      </w:r>
      <w:r w:rsidRPr="00DC1AE1">
        <w:t>      </w:t>
      </w:r>
      <w:r w:rsidRPr="00DC1AE1">
        <w:rPr>
          <w:rFonts w:hint="eastAsia"/>
        </w:rPr>
        <w:t>本条为文化馆节约集约用地措施。</w:t>
      </w:r>
    </w:p>
    <w:p w:rsidR="00DC1AE1" w:rsidRPr="00DC1AE1" w:rsidRDefault="00DC1AE1" w:rsidP="00DC1AE1">
      <w:r w:rsidRPr="00DC1AE1">
        <w:rPr>
          <w:rFonts w:hint="eastAsia"/>
        </w:rPr>
        <w:t>文化馆的建设，特别是在用地条件十分有限的情况下，应充分和合理利用地下空间，提高土地利用率；合理组织地面空间，留出必要的室外活动场地。</w:t>
      </w:r>
    </w:p>
    <w:p w:rsidR="00DC1AE1" w:rsidRPr="00DC1AE1" w:rsidRDefault="00DC1AE1" w:rsidP="00DC1AE1">
      <w:r w:rsidRPr="00DC1AE1">
        <w:rPr>
          <w:rFonts w:hint="eastAsia"/>
        </w:rPr>
        <w:t>第十一条</w:t>
      </w:r>
      <w:r w:rsidRPr="00DC1AE1">
        <w:t>           </w:t>
      </w:r>
      <w:r w:rsidRPr="00DC1AE1">
        <w:rPr>
          <w:rFonts w:hint="eastAsia"/>
        </w:rPr>
        <w:t>本条为文化馆节约集约用地措施。</w:t>
      </w:r>
    </w:p>
    <w:p w:rsidR="00DC1AE1" w:rsidRPr="00DC1AE1" w:rsidRDefault="00DC1AE1" w:rsidP="00DC1AE1">
      <w:r w:rsidRPr="00DC1AE1">
        <w:rPr>
          <w:rFonts w:hint="eastAsia"/>
        </w:rPr>
        <w:t>调研发现，有些城市由于用地条件有限，文化馆在进行改建、扩建时，新馆建在远离旧城中心、居住人口不多的地方，旧馆址改作他用，致使相当一段时间内新馆缺少使用者，而</w:t>
      </w:r>
      <w:proofErr w:type="gramStart"/>
      <w:r w:rsidRPr="00DC1AE1">
        <w:rPr>
          <w:rFonts w:hint="eastAsia"/>
        </w:rPr>
        <w:t>原馆服务</w:t>
      </w:r>
      <w:proofErr w:type="gramEnd"/>
      <w:r w:rsidRPr="00DC1AE1">
        <w:rPr>
          <w:rFonts w:hint="eastAsia"/>
        </w:rPr>
        <w:t>范围内的市民又失去了日常活动的文化场所；有些城市甚至出现旧馆拆除、新馆未建，文化馆活动长期停滞的情况。因此，为了保障公共文化设施用地不被蚕食，为了逐步完善公共文化设施社会服务网络，本指标特别提出，确需异地新建时应不改变原馆址公益性文化设施的使用性质，作为公共文化设施继续为市民提供文化服务；当</w:t>
      </w:r>
      <w:proofErr w:type="gramStart"/>
      <w:r w:rsidRPr="00DC1AE1">
        <w:rPr>
          <w:rFonts w:hint="eastAsia"/>
        </w:rPr>
        <w:t>原馆服务</w:t>
      </w:r>
      <w:proofErr w:type="gramEnd"/>
      <w:r w:rsidRPr="00DC1AE1">
        <w:rPr>
          <w:rFonts w:hint="eastAsia"/>
        </w:rPr>
        <w:t>范围内人口发生迁移、服务人口不足时，原馆址才可以改变使用性质。</w:t>
      </w:r>
    </w:p>
    <w:p w:rsidR="00DC1AE1" w:rsidRPr="00DC1AE1" w:rsidRDefault="00DC1AE1" w:rsidP="00DC1AE1">
      <w:bookmarkStart w:id="4" w:name="_Toc180832446"/>
      <w:r w:rsidRPr="00DC1AE1">
        <w:rPr>
          <w:rFonts w:hint="eastAsia"/>
          <w:b/>
          <w:bCs/>
        </w:rPr>
        <w:t>第三章</w:t>
      </w:r>
      <w:r w:rsidRPr="00DC1AE1">
        <w:rPr>
          <w:rFonts w:hint="eastAsia"/>
          <w:b/>
          <w:bCs/>
        </w:rPr>
        <w:t>  </w:t>
      </w:r>
      <w:bookmarkStart w:id="5" w:name="_Toc176935112"/>
      <w:bookmarkEnd w:id="4"/>
      <w:r w:rsidRPr="00DC1AE1">
        <w:rPr>
          <w:rFonts w:hint="eastAsia"/>
          <w:b/>
          <w:bCs/>
        </w:rPr>
        <w:t>建设用地</w:t>
      </w:r>
      <w:bookmarkEnd w:id="5"/>
      <w:r w:rsidRPr="00DC1AE1">
        <w:rPr>
          <w:rFonts w:hint="eastAsia"/>
          <w:b/>
          <w:bCs/>
        </w:rPr>
        <w:t>指标</w:t>
      </w:r>
    </w:p>
    <w:p w:rsidR="00DC1AE1" w:rsidRPr="00DC1AE1" w:rsidRDefault="00DC1AE1" w:rsidP="00DC1AE1">
      <w:bookmarkStart w:id="6" w:name="_Toc180832447"/>
      <w:r w:rsidRPr="00DC1AE1">
        <w:rPr>
          <w:rFonts w:hint="eastAsia"/>
        </w:rPr>
        <w:t>第一节</w:t>
      </w:r>
      <w:r w:rsidRPr="00DC1AE1">
        <w:rPr>
          <w:rFonts w:hint="eastAsia"/>
        </w:rPr>
        <w:t>  </w:t>
      </w:r>
      <w:bookmarkStart w:id="7" w:name="_Toc176935113"/>
      <w:bookmarkEnd w:id="6"/>
      <w:r w:rsidRPr="00DC1AE1">
        <w:rPr>
          <w:rFonts w:hint="eastAsia"/>
        </w:rPr>
        <w:t>分级分类与</w:t>
      </w:r>
      <w:bookmarkEnd w:id="7"/>
      <w:r w:rsidRPr="00DC1AE1">
        <w:rPr>
          <w:rFonts w:hint="eastAsia"/>
        </w:rPr>
        <w:t>设置原则</w:t>
      </w:r>
    </w:p>
    <w:p w:rsidR="00DC1AE1" w:rsidRPr="00DC1AE1" w:rsidRDefault="00DC1AE1" w:rsidP="00DC1AE1">
      <w:r w:rsidRPr="00DC1AE1">
        <w:rPr>
          <w:rFonts w:hint="eastAsia"/>
        </w:rPr>
        <w:t>第十二条</w:t>
      </w:r>
      <w:r w:rsidRPr="00DC1AE1">
        <w:t>           </w:t>
      </w:r>
      <w:r w:rsidRPr="00DC1AE1">
        <w:rPr>
          <w:rFonts w:hint="eastAsia"/>
        </w:rPr>
        <w:t>本条为文化馆的分级。</w:t>
      </w:r>
    </w:p>
    <w:p w:rsidR="00DC1AE1" w:rsidRPr="00DC1AE1" w:rsidRDefault="00DC1AE1" w:rsidP="00DC1AE1">
      <w:r w:rsidRPr="00DC1AE1">
        <w:rPr>
          <w:rFonts w:hint="eastAsia"/>
        </w:rPr>
        <w:t>目前我国的文化馆是按照行政建制进行设置和分组管理的。省（自治区、直辖市）级文化馆，通常称为群众艺术馆；市（地、州、盟）级文化馆，通常也称为群众艺术馆；县（旗、市、区）级文化馆称为文化馆。为了便于实施，本指标包含上述馆并统称文化馆，同时延续了原有的分级管理方式，这样文化馆将有比较明确的投资和管理主体。</w:t>
      </w:r>
    </w:p>
    <w:p w:rsidR="00DC1AE1" w:rsidRPr="00DC1AE1" w:rsidRDefault="00DC1AE1" w:rsidP="00DC1AE1">
      <w:r w:rsidRPr="00DC1AE1">
        <w:rPr>
          <w:rFonts w:hint="eastAsia"/>
        </w:rPr>
        <w:t>第十三条</w:t>
      </w:r>
      <w:r w:rsidRPr="00DC1AE1">
        <w:t>           </w:t>
      </w:r>
      <w:r w:rsidRPr="00DC1AE1">
        <w:rPr>
          <w:rFonts w:hint="eastAsia"/>
        </w:rPr>
        <w:t>明确了文化馆的分类。</w:t>
      </w:r>
    </w:p>
    <w:p w:rsidR="00DC1AE1" w:rsidRPr="00DC1AE1" w:rsidRDefault="00DC1AE1" w:rsidP="00DC1AE1">
      <w:r w:rsidRPr="00DC1AE1">
        <w:rPr>
          <w:rFonts w:hint="eastAsia"/>
        </w:rPr>
        <w:t>结合我国现阶段经济社会发展的现况以及文化馆的服务和使用性质，为了便于管理、进一步提高文化馆的社会服务水平，体现以人为本的设置原则，本指标综合考虑了直接影响文化馆服务功能和水平的服务人口因素，将文化馆按建设规模划分为大型馆、中型馆和小型馆</w:t>
      </w:r>
      <w:r w:rsidRPr="00DC1AE1">
        <w:rPr>
          <w:rFonts w:hint="eastAsia"/>
        </w:rPr>
        <w:t>3</w:t>
      </w:r>
      <w:r w:rsidRPr="00DC1AE1">
        <w:rPr>
          <w:rFonts w:hint="eastAsia"/>
        </w:rPr>
        <w:t>种类型，以对应不同规模的服务人口，便于更加科学、合理地确定文化馆的建设用地面积。</w:t>
      </w:r>
    </w:p>
    <w:p w:rsidR="00DC1AE1" w:rsidRPr="00DC1AE1" w:rsidRDefault="00DC1AE1" w:rsidP="00DC1AE1">
      <w:r w:rsidRPr="00DC1AE1">
        <w:rPr>
          <w:rFonts w:hint="eastAsia"/>
        </w:rPr>
        <w:t>本指标划分文化馆类型是以我国现有</w:t>
      </w:r>
      <w:r w:rsidRPr="00DC1AE1">
        <w:rPr>
          <w:rFonts w:hint="eastAsia"/>
        </w:rPr>
        <w:t>3</w:t>
      </w:r>
      <w:r w:rsidRPr="00DC1AE1">
        <w:rPr>
          <w:rFonts w:hint="eastAsia"/>
        </w:rPr>
        <w:t>级文化馆的建设数据为基础进行的（见附表</w:t>
      </w:r>
      <w:r w:rsidRPr="00DC1AE1">
        <w:rPr>
          <w:rFonts w:hint="eastAsia"/>
        </w:rPr>
        <w:t>1</w:t>
      </w:r>
      <w:r w:rsidRPr="00DC1AE1">
        <w:rPr>
          <w:rFonts w:hint="eastAsia"/>
        </w:rPr>
        <w:t>），对文化馆内部功能空间设置及建筑面积规模也进行了相应研究，这样有利于文化馆分级和分类的有机衔接，便于指标的实施操作。但目前文化馆中有相当部分建于</w:t>
      </w:r>
      <w:r w:rsidRPr="00DC1AE1">
        <w:rPr>
          <w:rFonts w:hint="eastAsia"/>
        </w:rPr>
        <w:t>1980</w:t>
      </w:r>
      <w:r w:rsidRPr="00DC1AE1">
        <w:rPr>
          <w:rFonts w:hint="eastAsia"/>
        </w:rPr>
        <w:t>年以前，其建筑规模、质量以及设施、设备已不能适应城市经济社会发展的需要，亟待改善。本指标控制数据的确定充分考虑了文化馆建设的合理需求和发展趋势。</w:t>
      </w:r>
    </w:p>
    <w:p w:rsidR="00DC1AE1" w:rsidRPr="00DC1AE1" w:rsidRDefault="00DC1AE1" w:rsidP="00DC1AE1">
      <w:r w:rsidRPr="00DC1AE1">
        <w:rPr>
          <w:rFonts w:hint="eastAsia"/>
        </w:rPr>
        <w:t>      </w:t>
      </w:r>
      <w:r w:rsidRPr="00DC1AE1">
        <w:rPr>
          <w:rFonts w:hint="eastAsia"/>
        </w:rPr>
        <w:t>我国文化馆建筑规模现状调研数据（㎡）</w:t>
      </w:r>
      <w:r w:rsidRPr="00DC1AE1">
        <w:rPr>
          <w:rFonts w:hint="eastAsia"/>
        </w:rPr>
        <w:t>   </w:t>
      </w:r>
      <w:r w:rsidRPr="00DC1AE1">
        <w:rPr>
          <w:rFonts w:hint="eastAsia"/>
        </w:rPr>
        <w:t>附表</w:t>
      </w:r>
      <w:r w:rsidRPr="00DC1AE1">
        <w:rPr>
          <w:rFonts w:hint="eastAsia"/>
        </w:rPr>
        <w:t>1</w:t>
      </w:r>
    </w:p>
    <w:tbl>
      <w:tblPr>
        <w:tblW w:w="0" w:type="auto"/>
        <w:shd w:val="clear" w:color="auto" w:fill="ECFBDA"/>
        <w:tblCellMar>
          <w:left w:w="0" w:type="dxa"/>
          <w:right w:w="0" w:type="dxa"/>
        </w:tblCellMar>
        <w:tblLook w:val="04A0"/>
      </w:tblPr>
      <w:tblGrid>
        <w:gridCol w:w="764"/>
        <w:gridCol w:w="764"/>
        <w:gridCol w:w="764"/>
        <w:gridCol w:w="764"/>
        <w:gridCol w:w="764"/>
        <w:gridCol w:w="764"/>
        <w:gridCol w:w="765"/>
        <w:gridCol w:w="765"/>
      </w:tblGrid>
      <w:tr w:rsidR="00DC1AE1" w:rsidRPr="00DC1AE1" w:rsidTr="00DC1AE1">
        <w:tc>
          <w:tcPr>
            <w:tcW w:w="764" w:type="dxa"/>
            <w:tcBorders>
              <w:top w:val="single" w:sz="12" w:space="0" w:color="auto"/>
              <w:left w:val="single" w:sz="12" w:space="0" w:color="auto"/>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数据内容</w:t>
            </w:r>
          </w:p>
        </w:tc>
        <w:tc>
          <w:tcPr>
            <w:tcW w:w="764"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省级</w:t>
            </w:r>
          </w:p>
          <w:p w:rsidR="00DC1AE1" w:rsidRPr="00DC1AE1" w:rsidRDefault="00DC1AE1" w:rsidP="00DC1AE1">
            <w:r w:rsidRPr="00DC1AE1">
              <w:rPr>
                <w:rFonts w:hint="eastAsia"/>
              </w:rPr>
              <w:t>文化馆</w:t>
            </w:r>
          </w:p>
        </w:tc>
        <w:tc>
          <w:tcPr>
            <w:tcW w:w="764"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计划</w:t>
            </w:r>
          </w:p>
          <w:p w:rsidR="00DC1AE1" w:rsidRPr="00DC1AE1" w:rsidRDefault="00DC1AE1" w:rsidP="00DC1AE1">
            <w:r w:rsidRPr="00DC1AE1">
              <w:rPr>
                <w:rFonts w:hint="eastAsia"/>
              </w:rPr>
              <w:t>单列市</w:t>
            </w:r>
          </w:p>
          <w:p w:rsidR="00DC1AE1" w:rsidRPr="00DC1AE1" w:rsidRDefault="00DC1AE1" w:rsidP="00DC1AE1">
            <w:r w:rsidRPr="00DC1AE1">
              <w:rPr>
                <w:rFonts w:hint="eastAsia"/>
              </w:rPr>
              <w:t>文化馆</w:t>
            </w:r>
          </w:p>
        </w:tc>
        <w:tc>
          <w:tcPr>
            <w:tcW w:w="764"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直辖市</w:t>
            </w:r>
          </w:p>
          <w:p w:rsidR="00DC1AE1" w:rsidRPr="00DC1AE1" w:rsidRDefault="00DC1AE1" w:rsidP="00DC1AE1">
            <w:proofErr w:type="gramStart"/>
            <w:r w:rsidRPr="00DC1AE1">
              <w:rPr>
                <w:rFonts w:hint="eastAsia"/>
              </w:rPr>
              <w:t>区馆</w:t>
            </w:r>
            <w:proofErr w:type="gramEnd"/>
          </w:p>
        </w:tc>
        <w:tc>
          <w:tcPr>
            <w:tcW w:w="764"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地级市</w:t>
            </w:r>
          </w:p>
          <w:p w:rsidR="00DC1AE1" w:rsidRPr="00DC1AE1" w:rsidRDefault="00DC1AE1" w:rsidP="00DC1AE1">
            <w:r w:rsidRPr="00DC1AE1">
              <w:rPr>
                <w:rFonts w:hint="eastAsia"/>
              </w:rPr>
              <w:t>文化馆</w:t>
            </w:r>
          </w:p>
        </w:tc>
        <w:tc>
          <w:tcPr>
            <w:tcW w:w="764"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计划</w:t>
            </w:r>
          </w:p>
          <w:p w:rsidR="00DC1AE1" w:rsidRPr="00DC1AE1" w:rsidRDefault="00DC1AE1" w:rsidP="00DC1AE1">
            <w:r w:rsidRPr="00DC1AE1">
              <w:rPr>
                <w:rFonts w:hint="eastAsia"/>
              </w:rPr>
              <w:t>单列市</w:t>
            </w:r>
          </w:p>
          <w:p w:rsidR="00DC1AE1" w:rsidRPr="00DC1AE1" w:rsidRDefault="00DC1AE1" w:rsidP="00DC1AE1">
            <w:proofErr w:type="gramStart"/>
            <w:r w:rsidRPr="00DC1AE1">
              <w:rPr>
                <w:rFonts w:hint="eastAsia"/>
              </w:rPr>
              <w:t>区馆</w:t>
            </w:r>
            <w:proofErr w:type="gramEnd"/>
          </w:p>
        </w:tc>
        <w:tc>
          <w:tcPr>
            <w:tcW w:w="765" w:type="dxa"/>
            <w:tcBorders>
              <w:top w:val="single" w:sz="12" w:space="0" w:color="auto"/>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县级市</w:t>
            </w:r>
          </w:p>
          <w:p w:rsidR="00DC1AE1" w:rsidRPr="00DC1AE1" w:rsidRDefault="00DC1AE1" w:rsidP="00DC1AE1">
            <w:r w:rsidRPr="00DC1AE1">
              <w:rPr>
                <w:rFonts w:hint="eastAsia"/>
              </w:rPr>
              <w:t>文化馆</w:t>
            </w:r>
          </w:p>
        </w:tc>
        <w:tc>
          <w:tcPr>
            <w:tcW w:w="765" w:type="dxa"/>
            <w:tcBorders>
              <w:top w:val="single" w:sz="12" w:space="0" w:color="auto"/>
              <w:left w:val="nil"/>
              <w:bottom w:val="single" w:sz="8" w:space="0" w:color="auto"/>
              <w:right w:val="single" w:sz="12"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县级</w:t>
            </w:r>
          </w:p>
          <w:p w:rsidR="00DC1AE1" w:rsidRPr="00DC1AE1" w:rsidRDefault="00DC1AE1" w:rsidP="00DC1AE1">
            <w:r w:rsidRPr="00DC1AE1">
              <w:rPr>
                <w:rFonts w:hint="eastAsia"/>
              </w:rPr>
              <w:t>文化馆</w:t>
            </w:r>
          </w:p>
        </w:tc>
      </w:tr>
      <w:tr w:rsidR="00DC1AE1" w:rsidRPr="00DC1AE1" w:rsidTr="00DC1AE1">
        <w:tc>
          <w:tcPr>
            <w:tcW w:w="764" w:type="dxa"/>
            <w:tcBorders>
              <w:top w:val="nil"/>
              <w:left w:val="single" w:sz="12" w:space="0" w:color="auto"/>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平均数</w:t>
            </w:r>
          </w:p>
        </w:tc>
        <w:tc>
          <w:tcPr>
            <w:tcW w:w="764"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5305</w:t>
            </w:r>
          </w:p>
        </w:tc>
        <w:tc>
          <w:tcPr>
            <w:tcW w:w="764"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6363</w:t>
            </w:r>
          </w:p>
        </w:tc>
        <w:tc>
          <w:tcPr>
            <w:tcW w:w="764"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5596</w:t>
            </w:r>
          </w:p>
        </w:tc>
        <w:tc>
          <w:tcPr>
            <w:tcW w:w="764"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4334</w:t>
            </w:r>
          </w:p>
        </w:tc>
        <w:tc>
          <w:tcPr>
            <w:tcW w:w="764"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3155</w:t>
            </w:r>
          </w:p>
        </w:tc>
        <w:tc>
          <w:tcPr>
            <w:tcW w:w="765" w:type="dxa"/>
            <w:tcBorders>
              <w:top w:val="nil"/>
              <w:left w:val="nil"/>
              <w:bottom w:val="single" w:sz="8"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2503</w:t>
            </w:r>
          </w:p>
        </w:tc>
        <w:tc>
          <w:tcPr>
            <w:tcW w:w="765" w:type="dxa"/>
            <w:tcBorders>
              <w:top w:val="nil"/>
              <w:left w:val="nil"/>
              <w:bottom w:val="single" w:sz="8" w:space="0" w:color="auto"/>
              <w:right w:val="single" w:sz="12"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1894</w:t>
            </w:r>
          </w:p>
        </w:tc>
      </w:tr>
      <w:tr w:rsidR="00DC1AE1" w:rsidRPr="00DC1AE1" w:rsidTr="00DC1AE1">
        <w:tc>
          <w:tcPr>
            <w:tcW w:w="764" w:type="dxa"/>
            <w:tcBorders>
              <w:top w:val="nil"/>
              <w:left w:val="single" w:sz="12" w:space="0" w:color="auto"/>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rPr>
                <w:rFonts w:hint="eastAsia"/>
              </w:rPr>
              <w:t>中位数</w:t>
            </w:r>
          </w:p>
        </w:tc>
        <w:tc>
          <w:tcPr>
            <w:tcW w:w="764"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3800</w:t>
            </w:r>
          </w:p>
        </w:tc>
        <w:tc>
          <w:tcPr>
            <w:tcW w:w="764"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6747</w:t>
            </w:r>
          </w:p>
        </w:tc>
        <w:tc>
          <w:tcPr>
            <w:tcW w:w="764"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4506</w:t>
            </w:r>
          </w:p>
        </w:tc>
        <w:tc>
          <w:tcPr>
            <w:tcW w:w="764"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3950</w:t>
            </w:r>
          </w:p>
        </w:tc>
        <w:tc>
          <w:tcPr>
            <w:tcW w:w="764"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3000</w:t>
            </w:r>
          </w:p>
        </w:tc>
        <w:tc>
          <w:tcPr>
            <w:tcW w:w="765" w:type="dxa"/>
            <w:tcBorders>
              <w:top w:val="nil"/>
              <w:left w:val="nil"/>
              <w:bottom w:val="single" w:sz="12" w:space="0" w:color="auto"/>
              <w:right w:val="single" w:sz="8"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2009</w:t>
            </w:r>
          </w:p>
        </w:tc>
        <w:tc>
          <w:tcPr>
            <w:tcW w:w="765" w:type="dxa"/>
            <w:tcBorders>
              <w:top w:val="nil"/>
              <w:left w:val="nil"/>
              <w:bottom w:val="single" w:sz="12" w:space="0" w:color="auto"/>
              <w:right w:val="single" w:sz="12" w:space="0" w:color="auto"/>
            </w:tcBorders>
            <w:shd w:val="clear" w:color="auto" w:fill="ECFBDA"/>
            <w:tcMar>
              <w:top w:w="0" w:type="dxa"/>
              <w:left w:w="28" w:type="dxa"/>
              <w:bottom w:w="0" w:type="dxa"/>
              <w:right w:w="28" w:type="dxa"/>
            </w:tcMar>
            <w:vAlign w:val="center"/>
            <w:hideMark/>
          </w:tcPr>
          <w:p w:rsidR="00DC1AE1" w:rsidRPr="00DC1AE1" w:rsidRDefault="00DC1AE1" w:rsidP="00DC1AE1">
            <w:r w:rsidRPr="00DC1AE1">
              <w:t>1467</w:t>
            </w:r>
          </w:p>
        </w:tc>
      </w:tr>
    </w:tbl>
    <w:p w:rsidR="00DC1AE1" w:rsidRPr="00DC1AE1" w:rsidRDefault="00DC1AE1" w:rsidP="00DC1AE1">
      <w:r w:rsidRPr="00DC1AE1">
        <w:rPr>
          <w:rFonts w:hint="eastAsia"/>
        </w:rPr>
        <w:t>第十四条</w:t>
      </w:r>
      <w:r w:rsidRPr="00DC1AE1">
        <w:t>           </w:t>
      </w:r>
      <w:r w:rsidRPr="00DC1AE1">
        <w:rPr>
          <w:rFonts w:hint="eastAsia"/>
        </w:rPr>
        <w:t>本条阐明了文化馆的设置规定。</w:t>
      </w:r>
    </w:p>
    <w:p w:rsidR="00DC1AE1" w:rsidRPr="00DC1AE1" w:rsidRDefault="00DC1AE1" w:rsidP="00DC1AE1">
      <w:r w:rsidRPr="00DC1AE1">
        <w:rPr>
          <w:rFonts w:hint="eastAsia"/>
        </w:rPr>
        <w:t>本指标明确地提出了文化馆的设置原则——综合考虑文化馆分级与分类的关系，并通过“设置原则”的规定进行修正。文化馆与行政管理级别挂钩的设置与管理模式在一定时期内仍将有助于文化馆的建设与管理，但其社会化服务的职能日益凸现，为便于更加合理地确定文化馆的建设用地面积，本指标增加了文化馆的分类标准。</w:t>
      </w:r>
    </w:p>
    <w:p w:rsidR="00DC1AE1" w:rsidRPr="00DC1AE1" w:rsidRDefault="00DC1AE1" w:rsidP="00DC1AE1">
      <w:r w:rsidRPr="00DC1AE1">
        <w:rPr>
          <w:rFonts w:hint="eastAsia"/>
        </w:rPr>
        <w:t>大型馆适用于省会城市、自治区首府和直辖市，以及</w:t>
      </w:r>
      <w:r w:rsidRPr="00DC1AE1">
        <w:rPr>
          <w:rFonts w:hint="eastAsia"/>
        </w:rPr>
        <w:t>50</w:t>
      </w:r>
      <w:r w:rsidRPr="00DC1AE1">
        <w:rPr>
          <w:rFonts w:hint="eastAsia"/>
        </w:rPr>
        <w:t>万人（含）以上的大型城市的文化馆。</w:t>
      </w:r>
    </w:p>
    <w:p w:rsidR="00DC1AE1" w:rsidRPr="00DC1AE1" w:rsidRDefault="00DC1AE1" w:rsidP="00DC1AE1">
      <w:r w:rsidRPr="00DC1AE1">
        <w:rPr>
          <w:rFonts w:hint="eastAsia"/>
        </w:rPr>
        <w:t>中型馆适用于</w:t>
      </w:r>
      <w:r w:rsidRPr="00DC1AE1">
        <w:rPr>
          <w:rFonts w:hint="eastAsia"/>
        </w:rPr>
        <w:t>20</w:t>
      </w:r>
      <w:r w:rsidRPr="00DC1AE1">
        <w:rPr>
          <w:rFonts w:hint="eastAsia"/>
        </w:rPr>
        <w:t>万人（含）～</w:t>
      </w:r>
      <w:r w:rsidRPr="00DC1AE1">
        <w:rPr>
          <w:rFonts w:hint="eastAsia"/>
        </w:rPr>
        <w:t>50</w:t>
      </w:r>
      <w:r w:rsidRPr="00DC1AE1">
        <w:rPr>
          <w:rFonts w:hint="eastAsia"/>
        </w:rPr>
        <w:t>万人的中等城市，以及</w:t>
      </w:r>
      <w:r w:rsidRPr="00DC1AE1">
        <w:rPr>
          <w:rFonts w:hint="eastAsia"/>
        </w:rPr>
        <w:t>30</w:t>
      </w:r>
      <w:r w:rsidRPr="00DC1AE1">
        <w:rPr>
          <w:rFonts w:hint="eastAsia"/>
        </w:rPr>
        <w:t>万人（含）以上的区文化馆。</w:t>
      </w:r>
    </w:p>
    <w:p w:rsidR="00DC1AE1" w:rsidRPr="00DC1AE1" w:rsidRDefault="00DC1AE1" w:rsidP="00DC1AE1">
      <w:r w:rsidRPr="00DC1AE1">
        <w:rPr>
          <w:rFonts w:hint="eastAsia"/>
        </w:rPr>
        <w:t>小型馆适用于</w:t>
      </w:r>
      <w:r w:rsidRPr="00DC1AE1">
        <w:rPr>
          <w:rFonts w:hint="eastAsia"/>
        </w:rPr>
        <w:t>5</w:t>
      </w:r>
      <w:r w:rsidRPr="00DC1AE1">
        <w:rPr>
          <w:rFonts w:hint="eastAsia"/>
        </w:rPr>
        <w:t>万人（含）～</w:t>
      </w:r>
      <w:r w:rsidRPr="00DC1AE1">
        <w:rPr>
          <w:rFonts w:hint="eastAsia"/>
        </w:rPr>
        <w:t>20</w:t>
      </w:r>
      <w:r w:rsidRPr="00DC1AE1">
        <w:rPr>
          <w:rFonts w:hint="eastAsia"/>
        </w:rPr>
        <w:t>万人的小城市或县城，以及</w:t>
      </w:r>
      <w:r w:rsidRPr="00DC1AE1">
        <w:rPr>
          <w:rFonts w:hint="eastAsia"/>
        </w:rPr>
        <w:t>5</w:t>
      </w:r>
      <w:r w:rsidRPr="00DC1AE1">
        <w:rPr>
          <w:rFonts w:hint="eastAsia"/>
        </w:rPr>
        <w:t>万人（含）～</w:t>
      </w:r>
      <w:r w:rsidRPr="00DC1AE1">
        <w:rPr>
          <w:rFonts w:hint="eastAsia"/>
        </w:rPr>
        <w:t>30</w:t>
      </w:r>
      <w:r w:rsidRPr="00DC1AE1">
        <w:rPr>
          <w:rFonts w:hint="eastAsia"/>
        </w:rPr>
        <w:t>万人的区文化馆。</w:t>
      </w:r>
    </w:p>
    <w:p w:rsidR="00DC1AE1" w:rsidRPr="00DC1AE1" w:rsidRDefault="00DC1AE1" w:rsidP="00DC1AE1">
      <w:r w:rsidRPr="00DC1AE1">
        <w:rPr>
          <w:rFonts w:hint="eastAsia"/>
        </w:rPr>
        <w:lastRenderedPageBreak/>
        <w:t>文化馆是广大群众参与各类文化艺术活动的场所，所以必须贴近群众，其选址和布局应根据各地的人口分布情况综合考虑服务半径的要求进行设置。本指标的设置原则对市辖区文化馆提出了服务半径的控制要求，因为大、中城市中的中、小型文化馆（区文化馆）具有方便群众到达、有利于吸引群众参与文化活动等特点，应鼓励优先发展，合理布局，力争达到文化馆设施网络化、文化馆服务均等化的发展目标。</w:t>
      </w:r>
    </w:p>
    <w:p w:rsidR="00DC1AE1" w:rsidRPr="00DC1AE1" w:rsidRDefault="00DC1AE1" w:rsidP="00DC1AE1">
      <w:r w:rsidRPr="00DC1AE1">
        <w:rPr>
          <w:rFonts w:hint="eastAsia"/>
        </w:rPr>
        <w:t>调研发现，参与文化馆日常活动的市民，约</w:t>
      </w:r>
      <w:r w:rsidRPr="00DC1AE1">
        <w:rPr>
          <w:rFonts w:hint="eastAsia"/>
        </w:rPr>
        <w:t>85%</w:t>
      </w:r>
      <w:r w:rsidRPr="00DC1AE1">
        <w:rPr>
          <w:rFonts w:hint="eastAsia"/>
        </w:rPr>
        <w:t>是采用步行、自行车和公共交通方式到达文化馆的；有</w:t>
      </w:r>
      <w:r w:rsidRPr="00DC1AE1">
        <w:rPr>
          <w:rFonts w:hint="eastAsia"/>
        </w:rPr>
        <w:t>1/3</w:t>
      </w:r>
      <w:r w:rsidRPr="00DC1AE1">
        <w:rPr>
          <w:rFonts w:hint="eastAsia"/>
        </w:rPr>
        <w:t>的市民期望</w:t>
      </w:r>
      <w:r w:rsidRPr="00DC1AE1">
        <w:rPr>
          <w:rFonts w:hint="eastAsia"/>
        </w:rPr>
        <w:t>5</w:t>
      </w:r>
      <w:r w:rsidRPr="00DC1AE1">
        <w:rPr>
          <w:rFonts w:hint="eastAsia"/>
        </w:rPr>
        <w:t>～</w:t>
      </w:r>
      <w:r w:rsidRPr="00DC1AE1">
        <w:rPr>
          <w:rFonts w:hint="eastAsia"/>
        </w:rPr>
        <w:t>15min</w:t>
      </w:r>
      <w:r w:rsidRPr="00DC1AE1">
        <w:rPr>
          <w:rFonts w:hint="eastAsia"/>
        </w:rPr>
        <w:t>内可以到达文化馆，另外还有</w:t>
      </w:r>
      <w:r w:rsidRPr="00DC1AE1">
        <w:rPr>
          <w:rFonts w:hint="eastAsia"/>
        </w:rPr>
        <w:t>1/3</w:t>
      </w:r>
      <w:r w:rsidRPr="00DC1AE1">
        <w:rPr>
          <w:rFonts w:hint="eastAsia"/>
        </w:rPr>
        <w:t>的市民期望</w:t>
      </w:r>
      <w:r w:rsidRPr="00DC1AE1">
        <w:rPr>
          <w:rFonts w:hint="eastAsia"/>
        </w:rPr>
        <w:t>15</w:t>
      </w:r>
      <w:r w:rsidRPr="00DC1AE1">
        <w:rPr>
          <w:rFonts w:hint="eastAsia"/>
        </w:rPr>
        <w:t>～</w:t>
      </w:r>
      <w:r w:rsidRPr="00DC1AE1">
        <w:rPr>
          <w:rFonts w:hint="eastAsia"/>
        </w:rPr>
        <w:t>30min</w:t>
      </w:r>
      <w:r w:rsidRPr="00DC1AE1">
        <w:rPr>
          <w:rFonts w:hint="eastAsia"/>
        </w:rPr>
        <w:t>内可以到达文化馆。根据我国城市居民平均出行时间调查：步行出行速度平均为</w:t>
      </w:r>
      <w:r w:rsidRPr="00DC1AE1">
        <w:rPr>
          <w:rFonts w:hint="eastAsia"/>
        </w:rPr>
        <w:t>3</w:t>
      </w:r>
      <w:r w:rsidRPr="00DC1AE1">
        <w:rPr>
          <w:rFonts w:hint="eastAsia"/>
        </w:rPr>
        <w:t>～</w:t>
      </w:r>
      <w:r w:rsidRPr="00DC1AE1">
        <w:rPr>
          <w:rFonts w:hint="eastAsia"/>
        </w:rPr>
        <w:t>4km/h</w:t>
      </w:r>
      <w:r w:rsidRPr="00DC1AE1">
        <w:rPr>
          <w:rFonts w:hint="eastAsia"/>
        </w:rPr>
        <w:t>；自行车平均速度为</w:t>
      </w:r>
      <w:r w:rsidRPr="00DC1AE1">
        <w:rPr>
          <w:rFonts w:hint="eastAsia"/>
        </w:rPr>
        <w:t>8</w:t>
      </w:r>
      <w:r w:rsidRPr="00DC1AE1">
        <w:rPr>
          <w:rFonts w:hint="eastAsia"/>
        </w:rPr>
        <w:t>～</w:t>
      </w:r>
      <w:r w:rsidRPr="00DC1AE1">
        <w:rPr>
          <w:rFonts w:hint="eastAsia"/>
        </w:rPr>
        <w:t>12km/h</w:t>
      </w:r>
      <w:r w:rsidRPr="00DC1AE1">
        <w:rPr>
          <w:rFonts w:hint="eastAsia"/>
        </w:rPr>
        <w:t>；公共交通运营平均速度为</w:t>
      </w:r>
      <w:r w:rsidRPr="00DC1AE1">
        <w:rPr>
          <w:rFonts w:hint="eastAsia"/>
        </w:rPr>
        <w:t>6</w:t>
      </w:r>
      <w:r w:rsidRPr="00DC1AE1">
        <w:rPr>
          <w:rFonts w:hint="eastAsia"/>
        </w:rPr>
        <w:t>～</w:t>
      </w:r>
      <w:r w:rsidRPr="00DC1AE1">
        <w:rPr>
          <w:rFonts w:hint="eastAsia"/>
        </w:rPr>
        <w:t>8km/h</w:t>
      </w:r>
      <w:r w:rsidRPr="00DC1AE1">
        <w:rPr>
          <w:rFonts w:hint="eastAsia"/>
        </w:rPr>
        <w:t>（包括等候与换乘时间，各城市交通状况不同存在着差异），本指标以市民单程到达文化馆的出行时间大约控制在</w:t>
      </w:r>
      <w:r w:rsidRPr="00DC1AE1">
        <w:rPr>
          <w:rFonts w:hint="eastAsia"/>
        </w:rPr>
        <w:t>15</w:t>
      </w:r>
      <w:r w:rsidRPr="00DC1AE1">
        <w:rPr>
          <w:rFonts w:hint="eastAsia"/>
        </w:rPr>
        <w:t>～</w:t>
      </w:r>
      <w:r w:rsidRPr="00DC1AE1">
        <w:rPr>
          <w:rFonts w:hint="eastAsia"/>
        </w:rPr>
        <w:t>30min</w:t>
      </w:r>
      <w:r w:rsidRPr="00DC1AE1">
        <w:rPr>
          <w:rFonts w:hint="eastAsia"/>
        </w:rPr>
        <w:t>为原则，确定不同类型文化馆的服务半径。</w:t>
      </w:r>
    </w:p>
    <w:p w:rsidR="00DC1AE1" w:rsidRPr="00DC1AE1" w:rsidRDefault="00DC1AE1" w:rsidP="00DC1AE1">
      <w:r w:rsidRPr="00DC1AE1">
        <w:rPr>
          <w:rFonts w:hint="eastAsia"/>
        </w:rPr>
        <w:t>表</w:t>
      </w:r>
      <w:r w:rsidRPr="00DC1AE1">
        <w:rPr>
          <w:rFonts w:hint="eastAsia"/>
        </w:rPr>
        <w:t>1</w:t>
      </w:r>
      <w:r w:rsidRPr="00DC1AE1">
        <w:rPr>
          <w:rFonts w:hint="eastAsia"/>
        </w:rPr>
        <w:t>注中提出了上级馆覆盖下级馆的建设原则，以避免文化设施资源的浪费，减少重复建设，充分发挥公益性文化设施的服务效能，节约用地。</w:t>
      </w:r>
    </w:p>
    <w:p w:rsidR="00DC1AE1" w:rsidRPr="00DC1AE1" w:rsidRDefault="00DC1AE1" w:rsidP="00DC1AE1">
      <w:bookmarkStart w:id="8" w:name="_Toc176935115"/>
      <w:r w:rsidRPr="00DC1AE1">
        <w:rPr>
          <w:rFonts w:hint="eastAsia"/>
        </w:rPr>
        <w:t>第二节</w:t>
      </w:r>
      <w:r w:rsidRPr="00DC1AE1">
        <w:rPr>
          <w:rFonts w:hint="eastAsia"/>
        </w:rPr>
        <w:t>  </w:t>
      </w:r>
      <w:r w:rsidRPr="00DC1AE1">
        <w:rPr>
          <w:rFonts w:hint="eastAsia"/>
        </w:rPr>
        <w:t>建设用地控制指标</w:t>
      </w:r>
      <w:bookmarkEnd w:id="8"/>
    </w:p>
    <w:p w:rsidR="00DC1AE1" w:rsidRPr="00DC1AE1" w:rsidRDefault="00DC1AE1" w:rsidP="00DC1AE1">
      <w:r w:rsidRPr="00DC1AE1">
        <w:rPr>
          <w:rFonts w:hint="eastAsia"/>
        </w:rPr>
        <w:t>第十五条</w:t>
      </w:r>
      <w:r w:rsidRPr="00DC1AE1">
        <w:t>           </w:t>
      </w:r>
      <w:r w:rsidRPr="00DC1AE1">
        <w:rPr>
          <w:rFonts w:hint="eastAsia"/>
        </w:rPr>
        <w:t>本条为文化馆建设用地的构成。</w:t>
      </w:r>
    </w:p>
    <w:p w:rsidR="00DC1AE1" w:rsidRPr="00DC1AE1" w:rsidRDefault="00DC1AE1" w:rsidP="00DC1AE1">
      <w:r w:rsidRPr="00DC1AE1">
        <w:rPr>
          <w:rFonts w:hint="eastAsia"/>
        </w:rPr>
        <w:t>文化馆建筑用地指文化馆建筑基地占地及建筑周边必须的维护用地；</w:t>
      </w:r>
    </w:p>
    <w:p w:rsidR="00DC1AE1" w:rsidRPr="00DC1AE1" w:rsidRDefault="00DC1AE1" w:rsidP="00DC1AE1">
      <w:r w:rsidRPr="00DC1AE1">
        <w:rPr>
          <w:rFonts w:hint="eastAsia"/>
        </w:rPr>
        <w:t>室外活动场地指文化馆用地内供文化馆使用开展室外文化活动的用地；</w:t>
      </w:r>
    </w:p>
    <w:p w:rsidR="00DC1AE1" w:rsidRPr="00DC1AE1" w:rsidRDefault="00DC1AE1" w:rsidP="00DC1AE1">
      <w:r w:rsidRPr="00DC1AE1">
        <w:rPr>
          <w:rFonts w:hint="eastAsia"/>
        </w:rPr>
        <w:t>绿化用地指文化馆用地内维护环境、提供群众室外休憩空间的用地；</w:t>
      </w:r>
    </w:p>
    <w:p w:rsidR="00DC1AE1" w:rsidRPr="00DC1AE1" w:rsidRDefault="00DC1AE1" w:rsidP="00DC1AE1">
      <w:r w:rsidRPr="00DC1AE1">
        <w:rPr>
          <w:rFonts w:hint="eastAsia"/>
        </w:rPr>
        <w:t>道路和停车场用地指文化馆内部车辆、人流进出文化馆建筑的通道以及供文化馆使用的机动车和非机动车停车场用地。</w:t>
      </w:r>
    </w:p>
    <w:p w:rsidR="00DC1AE1" w:rsidRPr="00DC1AE1" w:rsidRDefault="00DC1AE1" w:rsidP="00DC1AE1">
      <w:r w:rsidRPr="00DC1AE1">
        <w:rPr>
          <w:rFonts w:hint="eastAsia"/>
        </w:rPr>
        <w:t>第十六条</w:t>
      </w:r>
      <w:r w:rsidRPr="00DC1AE1">
        <w:t>           </w:t>
      </w:r>
      <w:r w:rsidRPr="00DC1AE1">
        <w:rPr>
          <w:rFonts w:hint="eastAsia"/>
        </w:rPr>
        <w:t>本条明确文化馆建设用地面积控制指标。</w:t>
      </w:r>
    </w:p>
    <w:p w:rsidR="00DC1AE1" w:rsidRPr="00DC1AE1" w:rsidRDefault="00DC1AE1" w:rsidP="00DC1AE1">
      <w:bookmarkStart w:id="9" w:name="OLE_LINK2"/>
      <w:r w:rsidRPr="00DC1AE1">
        <w:rPr>
          <w:rFonts w:hint="eastAsia"/>
        </w:rPr>
        <w:t>根据我国文化馆建设的建筑面积规模，参考其容积率和室外活动场地的现状水平（见附表</w:t>
      </w:r>
      <w:r w:rsidRPr="00DC1AE1">
        <w:rPr>
          <w:rFonts w:hint="eastAsia"/>
        </w:rPr>
        <w:t>2</w:t>
      </w:r>
      <w:r w:rsidRPr="00DC1AE1">
        <w:rPr>
          <w:rFonts w:hint="eastAsia"/>
        </w:rPr>
        <w:t>）</w:t>
      </w:r>
      <w:bookmarkEnd w:id="9"/>
      <w:r w:rsidRPr="00DC1AE1">
        <w:rPr>
          <w:rFonts w:hint="eastAsia"/>
        </w:rPr>
        <w:t>，参照文化馆开展活动的合理规模，借鉴文化部文化馆评估考核的标准和《文化馆管理办法》，参比设计及活动开展较好、规模适宜的文化馆的建设实例，本指标针对不同类型的文化馆分别确定了其建设用地控制指标，内容包括：建设用地总面积控制指标、建筑面积规模参照指标、最小容积率控制指标、建筑密度控制范围以及室外活动场地控制指标。</w:t>
      </w:r>
    </w:p>
    <w:p w:rsidR="00DC1AE1" w:rsidRPr="00DC1AE1" w:rsidRDefault="00DC1AE1" w:rsidP="00DC1AE1">
      <w:r w:rsidRPr="00DC1AE1">
        <w:rPr>
          <w:rFonts w:hint="eastAsia"/>
        </w:rPr>
        <w:t>    </w:t>
      </w:r>
      <w:r w:rsidRPr="00DC1AE1">
        <w:rPr>
          <w:rFonts w:hint="eastAsia"/>
        </w:rPr>
        <w:t>我国文化馆室外活动场地、容积率现状调研数据统计</w:t>
      </w:r>
      <w:r w:rsidRPr="00DC1AE1">
        <w:rPr>
          <w:rFonts w:hint="eastAsia"/>
        </w:rPr>
        <w:t>  </w:t>
      </w:r>
      <w:r w:rsidRPr="00DC1AE1">
        <w:rPr>
          <w:rFonts w:hint="eastAsia"/>
        </w:rPr>
        <w:t>表</w:t>
      </w:r>
      <w:r w:rsidRPr="00DC1AE1">
        <w:rPr>
          <w:rFonts w:hint="eastAsia"/>
        </w:rPr>
        <w:t>2</w:t>
      </w:r>
    </w:p>
    <w:tbl>
      <w:tblPr>
        <w:tblW w:w="5795" w:type="dxa"/>
        <w:tblInd w:w="108" w:type="dxa"/>
        <w:shd w:val="clear" w:color="auto" w:fill="ECFBDA"/>
        <w:tblCellMar>
          <w:left w:w="0" w:type="dxa"/>
          <w:right w:w="0" w:type="dxa"/>
        </w:tblCellMar>
        <w:tblLook w:val="04A0"/>
      </w:tblPr>
      <w:tblGrid>
        <w:gridCol w:w="2635"/>
        <w:gridCol w:w="1053"/>
        <w:gridCol w:w="1053"/>
        <w:gridCol w:w="1054"/>
      </w:tblGrid>
      <w:tr w:rsidR="00DC1AE1" w:rsidRPr="00DC1AE1" w:rsidTr="00DC1AE1">
        <w:trPr>
          <w:trHeight w:val="209"/>
        </w:trPr>
        <w:tc>
          <w:tcPr>
            <w:tcW w:w="2635" w:type="dxa"/>
            <w:tcBorders>
              <w:top w:val="single" w:sz="12" w:space="0" w:color="auto"/>
              <w:left w:val="single" w:sz="12" w:space="0" w:color="auto"/>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数据内容</w:t>
            </w:r>
          </w:p>
        </w:tc>
        <w:tc>
          <w:tcPr>
            <w:tcW w:w="1053" w:type="dxa"/>
            <w:tcBorders>
              <w:top w:val="single" w:sz="12" w:space="0" w:color="auto"/>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省级馆</w:t>
            </w:r>
          </w:p>
        </w:tc>
        <w:tc>
          <w:tcPr>
            <w:tcW w:w="1053" w:type="dxa"/>
            <w:tcBorders>
              <w:top w:val="single" w:sz="12" w:space="0" w:color="auto"/>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地市级馆</w:t>
            </w:r>
          </w:p>
        </w:tc>
        <w:tc>
          <w:tcPr>
            <w:tcW w:w="1054" w:type="dxa"/>
            <w:tcBorders>
              <w:top w:val="single" w:sz="12" w:space="0" w:color="auto"/>
              <w:left w:val="nil"/>
              <w:bottom w:val="single" w:sz="8" w:space="0" w:color="auto"/>
              <w:right w:val="single" w:sz="12"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县区级馆</w:t>
            </w:r>
          </w:p>
        </w:tc>
      </w:tr>
      <w:tr w:rsidR="00DC1AE1" w:rsidRPr="00DC1AE1" w:rsidTr="00DC1AE1">
        <w:trPr>
          <w:trHeight w:val="209"/>
        </w:trPr>
        <w:tc>
          <w:tcPr>
            <w:tcW w:w="2635" w:type="dxa"/>
            <w:tcBorders>
              <w:top w:val="nil"/>
              <w:left w:val="single" w:sz="12" w:space="0" w:color="auto"/>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室外活动场地平均值（</w:t>
            </w:r>
            <w:r w:rsidRPr="00DC1AE1">
              <w:t>m</w:t>
            </w:r>
            <w:r w:rsidRPr="00DC1AE1">
              <w:rPr>
                <w:vertAlign w:val="superscript"/>
              </w:rPr>
              <w:t>2</w:t>
            </w:r>
            <w:r w:rsidRPr="00DC1AE1">
              <w:rPr>
                <w:rFonts w:hint="eastAsia"/>
              </w:rPr>
              <w:t>）</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2383</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2295</w:t>
            </w:r>
          </w:p>
        </w:tc>
        <w:tc>
          <w:tcPr>
            <w:tcW w:w="1054" w:type="dxa"/>
            <w:tcBorders>
              <w:top w:val="nil"/>
              <w:left w:val="nil"/>
              <w:bottom w:val="single" w:sz="8" w:space="0" w:color="auto"/>
              <w:right w:val="single" w:sz="12"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1288</w:t>
            </w:r>
          </w:p>
        </w:tc>
      </w:tr>
      <w:tr w:rsidR="00DC1AE1" w:rsidRPr="00DC1AE1" w:rsidTr="00DC1AE1">
        <w:trPr>
          <w:trHeight w:val="210"/>
        </w:trPr>
        <w:tc>
          <w:tcPr>
            <w:tcW w:w="2635" w:type="dxa"/>
            <w:tcBorders>
              <w:top w:val="nil"/>
              <w:left w:val="single" w:sz="12" w:space="0" w:color="auto"/>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室外活动场地中位数（</w:t>
            </w:r>
            <w:r w:rsidRPr="00DC1AE1">
              <w:t>m</w:t>
            </w:r>
            <w:r w:rsidRPr="00DC1AE1">
              <w:rPr>
                <w:vertAlign w:val="superscript"/>
              </w:rPr>
              <w:t>2</w:t>
            </w:r>
            <w:r w:rsidRPr="00DC1AE1">
              <w:rPr>
                <w:rFonts w:hint="eastAsia"/>
              </w:rPr>
              <w:t>）</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1100</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1200</w:t>
            </w:r>
          </w:p>
        </w:tc>
        <w:tc>
          <w:tcPr>
            <w:tcW w:w="1054" w:type="dxa"/>
            <w:tcBorders>
              <w:top w:val="nil"/>
              <w:left w:val="nil"/>
              <w:bottom w:val="single" w:sz="8" w:space="0" w:color="auto"/>
              <w:right w:val="single" w:sz="12"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600</w:t>
            </w:r>
          </w:p>
        </w:tc>
      </w:tr>
      <w:tr w:rsidR="00DC1AE1" w:rsidRPr="00DC1AE1" w:rsidTr="00DC1AE1">
        <w:trPr>
          <w:trHeight w:val="209"/>
        </w:trPr>
        <w:tc>
          <w:tcPr>
            <w:tcW w:w="2635" w:type="dxa"/>
            <w:tcBorders>
              <w:top w:val="nil"/>
              <w:left w:val="single" w:sz="12" w:space="0" w:color="auto"/>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容积率平均值</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1.48</w:t>
            </w:r>
          </w:p>
        </w:tc>
        <w:tc>
          <w:tcPr>
            <w:tcW w:w="1053" w:type="dxa"/>
            <w:tcBorders>
              <w:top w:val="nil"/>
              <w:left w:val="nil"/>
              <w:bottom w:val="single" w:sz="8"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1.34</w:t>
            </w:r>
          </w:p>
        </w:tc>
        <w:tc>
          <w:tcPr>
            <w:tcW w:w="1054" w:type="dxa"/>
            <w:tcBorders>
              <w:top w:val="nil"/>
              <w:left w:val="nil"/>
              <w:bottom w:val="single" w:sz="8" w:space="0" w:color="auto"/>
              <w:right w:val="single" w:sz="12"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1.17</w:t>
            </w:r>
          </w:p>
        </w:tc>
      </w:tr>
      <w:tr w:rsidR="00DC1AE1" w:rsidRPr="00DC1AE1" w:rsidTr="00DC1AE1">
        <w:trPr>
          <w:trHeight w:val="210"/>
        </w:trPr>
        <w:tc>
          <w:tcPr>
            <w:tcW w:w="2635" w:type="dxa"/>
            <w:tcBorders>
              <w:top w:val="nil"/>
              <w:left w:val="single" w:sz="12" w:space="0" w:color="auto"/>
              <w:bottom w:val="single" w:sz="12"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rPr>
                <w:rFonts w:hint="eastAsia"/>
              </w:rPr>
              <w:t>容积率中位数</w:t>
            </w:r>
          </w:p>
        </w:tc>
        <w:tc>
          <w:tcPr>
            <w:tcW w:w="1053" w:type="dxa"/>
            <w:tcBorders>
              <w:top w:val="nil"/>
              <w:left w:val="nil"/>
              <w:bottom w:val="single" w:sz="12"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1.02</w:t>
            </w:r>
          </w:p>
        </w:tc>
        <w:tc>
          <w:tcPr>
            <w:tcW w:w="1053" w:type="dxa"/>
            <w:tcBorders>
              <w:top w:val="nil"/>
              <w:left w:val="nil"/>
              <w:bottom w:val="single" w:sz="12" w:space="0" w:color="auto"/>
              <w:right w:val="single" w:sz="8"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0.94</w:t>
            </w:r>
          </w:p>
        </w:tc>
        <w:tc>
          <w:tcPr>
            <w:tcW w:w="1054" w:type="dxa"/>
            <w:tcBorders>
              <w:top w:val="nil"/>
              <w:left w:val="nil"/>
              <w:bottom w:val="single" w:sz="12" w:space="0" w:color="auto"/>
              <w:right w:val="single" w:sz="12" w:space="0" w:color="auto"/>
            </w:tcBorders>
            <w:shd w:val="clear" w:color="auto" w:fill="ECFBDA"/>
            <w:tcMar>
              <w:top w:w="0" w:type="dxa"/>
              <w:left w:w="57" w:type="dxa"/>
              <w:bottom w:w="0" w:type="dxa"/>
              <w:right w:w="57" w:type="dxa"/>
            </w:tcMar>
            <w:vAlign w:val="center"/>
            <w:hideMark/>
          </w:tcPr>
          <w:p w:rsidR="00DC1AE1" w:rsidRPr="00DC1AE1" w:rsidRDefault="00DC1AE1" w:rsidP="00DC1AE1">
            <w:r w:rsidRPr="00DC1AE1">
              <w:t>0.78</w:t>
            </w:r>
          </w:p>
        </w:tc>
      </w:tr>
    </w:tbl>
    <w:p w:rsidR="00DC1AE1" w:rsidRPr="00DC1AE1" w:rsidRDefault="00DC1AE1" w:rsidP="00DC1AE1">
      <w:r w:rsidRPr="00DC1AE1">
        <w:rPr>
          <w:rFonts w:hint="eastAsia"/>
        </w:rPr>
        <w:t>第十七条</w:t>
      </w:r>
      <w:r w:rsidRPr="00DC1AE1">
        <w:t>           </w:t>
      </w:r>
      <w:r w:rsidRPr="00DC1AE1">
        <w:rPr>
          <w:rFonts w:hint="eastAsia"/>
        </w:rPr>
        <w:t>本条为文化馆配建车位要求。</w:t>
      </w:r>
    </w:p>
    <w:p w:rsidR="00DC1AE1" w:rsidRPr="00DC1AE1" w:rsidRDefault="00DC1AE1" w:rsidP="00DC1AE1">
      <w:r w:rsidRPr="00DC1AE1">
        <w:rPr>
          <w:rFonts w:hint="eastAsia"/>
        </w:rPr>
        <w:t>文化馆的自行车停车应满足本指标要求，自行车为市民到达文化馆常用的便捷出行方式，因此应设置相应的停车场所。</w:t>
      </w:r>
    </w:p>
    <w:p w:rsidR="00DC1AE1" w:rsidRPr="00DC1AE1" w:rsidRDefault="00DC1AE1" w:rsidP="00DC1AE1">
      <w:r w:rsidRPr="00DC1AE1">
        <w:rPr>
          <w:rFonts w:hint="eastAsia"/>
        </w:rPr>
        <w:t>根据目前我国文化馆群众活动参与者的出行特点，考虑我国各城镇机动化程度不同、差异巨大，本指标从节约集约用地的角度出发，对机动车地面停车采用了总量控制方式，以保障文化馆自用型停车为主，少量提供社会车辆停车，鼓励文化馆机动车停车充分利用地下空间和社会停车设施；同时还应遵守各地方城乡规划建设对文化馆机动车停车的相关标准和规定</w:t>
      </w:r>
    </w:p>
    <w:p w:rsidR="00F15D8F" w:rsidRPr="00DC1AE1" w:rsidRDefault="00F15D8F" w:rsidP="00DC1AE1"/>
    <w:sectPr w:rsidR="00F15D8F" w:rsidRPr="00DC1A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AE1"/>
    <w:rsid w:val="00DC1AE1"/>
    <w:rsid w:val="00F15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1AE1"/>
  </w:style>
  <w:style w:type="character" w:styleId="a3">
    <w:name w:val="Hyperlink"/>
    <w:basedOn w:val="a0"/>
    <w:uiPriority w:val="99"/>
    <w:unhideWhenUsed/>
    <w:rsid w:val="00DC1AE1"/>
    <w:rPr>
      <w:color w:val="0000FF"/>
      <w:u w:val="single"/>
    </w:rPr>
  </w:style>
</w:styles>
</file>

<file path=word/webSettings.xml><?xml version="1.0" encoding="utf-8"?>
<w:webSettings xmlns:r="http://schemas.openxmlformats.org/officeDocument/2006/relationships" xmlns:w="http://schemas.openxmlformats.org/wordprocessingml/2006/main">
  <w:divs>
    <w:div w:id="524056004">
      <w:bodyDiv w:val="1"/>
      <w:marLeft w:val="0"/>
      <w:marRight w:val="0"/>
      <w:marTop w:val="0"/>
      <w:marBottom w:val="0"/>
      <w:divBdr>
        <w:top w:val="none" w:sz="0" w:space="0" w:color="auto"/>
        <w:left w:val="none" w:sz="0" w:space="0" w:color="auto"/>
        <w:bottom w:val="none" w:sz="0" w:space="0" w:color="auto"/>
        <w:right w:val="none" w:sz="0" w:space="0" w:color="auto"/>
      </w:divBdr>
    </w:div>
    <w:div w:id="1097286433">
      <w:bodyDiv w:val="1"/>
      <w:marLeft w:val="0"/>
      <w:marRight w:val="0"/>
      <w:marTop w:val="0"/>
      <w:marBottom w:val="0"/>
      <w:divBdr>
        <w:top w:val="none" w:sz="0" w:space="0" w:color="auto"/>
        <w:left w:val="none" w:sz="0" w:space="0" w:color="auto"/>
        <w:bottom w:val="none" w:sz="0" w:space="0" w:color="auto"/>
        <w:right w:val="none" w:sz="0" w:space="0" w:color="auto"/>
      </w:divBdr>
    </w:div>
    <w:div w:id="1496995576">
      <w:bodyDiv w:val="1"/>
      <w:marLeft w:val="0"/>
      <w:marRight w:val="0"/>
      <w:marTop w:val="0"/>
      <w:marBottom w:val="0"/>
      <w:divBdr>
        <w:top w:val="none" w:sz="0" w:space="0" w:color="auto"/>
        <w:left w:val="none" w:sz="0" w:space="0" w:color="auto"/>
        <w:bottom w:val="none" w:sz="0" w:space="0" w:color="auto"/>
        <w:right w:val="none" w:sz="0" w:space="0" w:color="auto"/>
      </w:divBdr>
    </w:div>
    <w:div w:id="1745833227">
      <w:bodyDiv w:val="1"/>
      <w:marLeft w:val="0"/>
      <w:marRight w:val="0"/>
      <w:marTop w:val="0"/>
      <w:marBottom w:val="0"/>
      <w:divBdr>
        <w:top w:val="none" w:sz="0" w:space="0" w:color="auto"/>
        <w:left w:val="none" w:sz="0" w:space="0" w:color="auto"/>
        <w:bottom w:val="none" w:sz="0" w:space="0" w:color="auto"/>
        <w:right w:val="none" w:sz="0" w:space="0" w:color="auto"/>
      </w:divBdr>
    </w:div>
    <w:div w:id="19315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60doc.com/writeArt.aspx?cid=2" TargetMode="External"/><Relationship Id="rId3" Type="http://schemas.openxmlformats.org/officeDocument/2006/relationships/webSettings" Target="webSettings.xml"/><Relationship Id="rId7" Type="http://schemas.openxmlformats.org/officeDocument/2006/relationships/hyperlink" Target="http://www.360doc.com/writeArt.aspx?ci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60doc.com/writeArt.aspx?cid=2" TargetMode="External"/><Relationship Id="rId5" Type="http://schemas.openxmlformats.org/officeDocument/2006/relationships/hyperlink" Target="http://www.360doc.com/writeArt.aspx?cid=2" TargetMode="External"/><Relationship Id="rId10" Type="http://schemas.openxmlformats.org/officeDocument/2006/relationships/theme" Target="theme/theme1.xml"/><Relationship Id="rId4" Type="http://schemas.openxmlformats.org/officeDocument/2006/relationships/hyperlink" Target="http://www.360doc.com/writeArt.aspx?cid=2"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2014-12-09T09:15:00Z</dcterms:created>
  <dcterms:modified xsi:type="dcterms:W3CDTF">2014-12-09T09:18:00Z</dcterms:modified>
</cp:coreProperties>
</file>